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9398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C4D7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эндопротеза индивидуального изготовления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C4D7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C4D7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158"/>
        <w:gridCol w:w="5434"/>
        <w:gridCol w:w="1087"/>
        <w:gridCol w:w="1242"/>
        <w:gridCol w:w="1553"/>
        <w:gridCol w:w="1242"/>
        <w:gridCol w:w="777"/>
        <w:gridCol w:w="1088"/>
        <w:gridCol w:w="1085"/>
      </w:tblGrid>
      <w:tr w:rsidR="005C4D75" w:rsidRPr="00A42088" w:rsidTr="001D7F2D">
        <w:trPr>
          <w:trHeight w:val="20"/>
          <w:jc w:val="center"/>
        </w:trPr>
        <w:tc>
          <w:tcPr>
            <w:tcW w:w="569" w:type="dxa"/>
            <w:vAlign w:val="center"/>
            <w:hideMark/>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п/п</w:t>
            </w:r>
          </w:p>
        </w:tc>
        <w:tc>
          <w:tcPr>
            <w:tcW w:w="2158" w:type="dxa"/>
            <w:vAlign w:val="center"/>
            <w:hideMark/>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 xml:space="preserve">Наименование товара </w:t>
            </w:r>
          </w:p>
        </w:tc>
        <w:tc>
          <w:tcPr>
            <w:tcW w:w="5434" w:type="dxa"/>
            <w:vAlign w:val="center"/>
            <w:hideMark/>
          </w:tcPr>
          <w:p w:rsidR="005C4D75" w:rsidRPr="00A42088" w:rsidRDefault="005C4D75" w:rsidP="005C4D75">
            <w:pPr>
              <w:spacing w:after="0" w:line="240" w:lineRule="auto"/>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87" w:type="dxa"/>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Кол-во</w:t>
            </w:r>
          </w:p>
        </w:tc>
        <w:tc>
          <w:tcPr>
            <w:tcW w:w="1242" w:type="dxa"/>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Ед. изм.</w:t>
            </w:r>
          </w:p>
        </w:tc>
        <w:tc>
          <w:tcPr>
            <w:tcW w:w="1553" w:type="dxa"/>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ОКПД2/ КТРУ</w:t>
            </w:r>
          </w:p>
        </w:tc>
        <w:tc>
          <w:tcPr>
            <w:tcW w:w="1242" w:type="dxa"/>
            <w:shd w:val="clear" w:color="auto" w:fill="FFFFCC"/>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Страна происхождения</w:t>
            </w:r>
          </w:p>
        </w:tc>
        <w:tc>
          <w:tcPr>
            <w:tcW w:w="777" w:type="dxa"/>
            <w:shd w:val="clear" w:color="auto" w:fill="FFFFCC"/>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sidRPr="00A42088">
              <w:rPr>
                <w:rFonts w:ascii="Times New Roman" w:eastAsia="Times New Roman" w:hAnsi="Times New Roman" w:cs="Times New Roman"/>
                <w:b/>
                <w:lang w:eastAsia="ru-RU"/>
              </w:rPr>
              <w:t>НДС %</w:t>
            </w:r>
          </w:p>
        </w:tc>
        <w:tc>
          <w:tcPr>
            <w:tcW w:w="1088" w:type="dxa"/>
            <w:shd w:val="clear" w:color="auto" w:fill="FFFFCC"/>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без </w:t>
            </w:r>
            <w:r w:rsidRPr="00A42088">
              <w:rPr>
                <w:rFonts w:ascii="Times New Roman" w:eastAsia="Times New Roman" w:hAnsi="Times New Roman" w:cs="Times New Roman"/>
                <w:b/>
                <w:lang w:eastAsia="ru-RU"/>
              </w:rPr>
              <w:t>НДС (руб.)</w:t>
            </w:r>
          </w:p>
        </w:tc>
        <w:tc>
          <w:tcPr>
            <w:tcW w:w="1085" w:type="dxa"/>
            <w:shd w:val="clear" w:color="auto" w:fill="FFFFCC"/>
            <w:vAlign w:val="center"/>
          </w:tcPr>
          <w:p w:rsidR="005C4D75" w:rsidRPr="00A42088" w:rsidRDefault="005C4D75" w:rsidP="001D7F2D">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Сумма без </w:t>
            </w:r>
            <w:r w:rsidRPr="00A42088">
              <w:rPr>
                <w:rFonts w:ascii="Times New Roman" w:eastAsia="Times New Roman" w:hAnsi="Times New Roman" w:cs="Times New Roman"/>
                <w:b/>
                <w:lang w:eastAsia="ru-RU"/>
              </w:rPr>
              <w:t>НДС (руб.)</w:t>
            </w:r>
          </w:p>
        </w:tc>
      </w:tr>
      <w:tr w:rsidR="005C4D75" w:rsidRPr="00E03DA3" w:rsidTr="001D7F2D">
        <w:trPr>
          <w:trHeight w:val="20"/>
          <w:jc w:val="center"/>
        </w:trPr>
        <w:tc>
          <w:tcPr>
            <w:tcW w:w="569" w:type="dxa"/>
          </w:tcPr>
          <w:p w:rsidR="005C4D75" w:rsidRPr="00A42088" w:rsidRDefault="005C4D75" w:rsidP="005C4D7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8" w:type="dxa"/>
            <w:tcBorders>
              <w:top w:val="single" w:sz="6" w:space="0" w:color="000000"/>
              <w:left w:val="single" w:sz="6" w:space="0" w:color="000000"/>
              <w:bottom w:val="single" w:sz="6" w:space="0" w:color="000000"/>
              <w:right w:val="single" w:sz="6" w:space="0" w:color="000000"/>
            </w:tcBorders>
            <w:vAlign w:val="center"/>
          </w:tcPr>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r w:rsidRPr="008D5A16">
              <w:rPr>
                <w:rFonts w:ascii="Times New Roman" w:eastAsia="Calibri" w:hAnsi="Times New Roman" w:cs="Times New Roman"/>
                <w:color w:val="000000"/>
                <w:lang w:eastAsia="ru-RU"/>
              </w:rPr>
              <w:t>Эндопротез тазовой кости индивидуального изготовления</w:t>
            </w: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Pr="000D7428"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434" w:type="dxa"/>
            <w:tcBorders>
              <w:top w:val="single" w:sz="6" w:space="0" w:color="000000"/>
              <w:left w:val="single" w:sz="6" w:space="0" w:color="000000"/>
              <w:bottom w:val="single" w:sz="6" w:space="0" w:color="000000"/>
              <w:right w:val="single" w:sz="6" w:space="0" w:color="000000"/>
            </w:tcBorders>
            <w:vAlign w:val="center"/>
          </w:tcPr>
          <w:p w:rsidR="005C4D75" w:rsidRPr="008D5A1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 xml:space="preserve">Эндопротез тазовой кости индивидуального изготовления выполнен из титанового сплава Ti-6Al-4V по технологии 3D принтинга; изделие предназначено для восстановления тазового кольца после удаления участка подвздошной кости и фрагмента крестца с последующей фиксацией к крестцу и культе подвздошной кости; проект импланта сформирован на основе данных КТ и Rg для конкретного пациента и учитывает все анатомические особенности его костного скелета; фиксация к костным структурам пациента осуществляется посредством спонгиозных винтов; диаметр винтов – 6,5 мм, фиксирующего штифта расчётной длины и диаметра; конструкция эндопротеза обеспечивает максимально возможное снижение вероятности сдавления и травматизации мягких тканей и сосудисто-нервных структур пациента; расположение каналов винтов, штифтов исключает помеху установке винтов, штифтов со стороны окружающих тканей пациента после выполнения запланированного доступа; полиаксиальность каналов винтов - 6 градусов; </w:t>
            </w:r>
          </w:p>
          <w:p w:rsidR="005C4D75" w:rsidRPr="008D5A1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В комплект поставки входят:</w:t>
            </w:r>
          </w:p>
          <w:p w:rsidR="005C4D75" w:rsidRPr="008D5A1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Фиксирующий штифт Ø 8-6 мм, материал изготовления титановый сплав Ti6Al4V, 1 шт, блокируется заглушкой соответствующего диаметра.</w:t>
            </w:r>
          </w:p>
          <w:p w:rsidR="005C4D75" w:rsidRPr="008D5A1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Спонгиозные винты, выполнены из титанового сплава, диаметром 6,5 мм, расчетной длины, 3 шт, блокируются заглушкой соответствующего диаметра.</w:t>
            </w:r>
          </w:p>
          <w:p w:rsidR="005C4D75" w:rsidRPr="008D5A1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 xml:space="preserve">Резекционный направитель, шаблон для </w:t>
            </w:r>
            <w:r>
              <w:rPr>
                <w:rFonts w:ascii="Times New Roman" w:eastAsia="Times New Roman" w:hAnsi="Times New Roman" w:cs="Times New Roman"/>
                <w:lang w:eastAsia="ru-RU"/>
              </w:rPr>
              <w:lastRenderedPageBreak/>
              <w:t xml:space="preserve">рассверливания </w:t>
            </w:r>
            <w:r w:rsidRPr="008D5A16">
              <w:rPr>
                <w:rFonts w:ascii="Times New Roman" w:eastAsia="Times New Roman" w:hAnsi="Times New Roman" w:cs="Times New Roman"/>
                <w:lang w:eastAsia="ru-RU"/>
              </w:rPr>
              <w:t>подвздошной кости, шаблон для рассверливания кресца индивидуального изготовления; направитель и шаблоны выполнены из стерилизуемого полиамида; направитель ориентирован на уникальные костные образования пациента; обеспечивает максимально возможное снижение риска выполнения некорректной подготовки кости.</w:t>
            </w:r>
          </w:p>
          <w:p w:rsidR="005C4D75" w:rsidRPr="008D5A1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Индивидуальный примерочный шаблон имплантата для предоперационного планирования и операционного контроля, материал изготовления полиамид</w:t>
            </w:r>
          </w:p>
          <w:p w:rsidR="005C4D75" w:rsidRPr="00417478"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Индивидуальная анатомическая модель таза по антропометрическим данным пациента для предоперационного планирования, выполнена из PetG пластика, не подлежит стерилизации</w:t>
            </w:r>
            <w:r>
              <w:rPr>
                <w:rFonts w:ascii="Times New Roman" w:eastAsia="Times New Roman" w:hAnsi="Times New Roman" w:cs="Times New Roman"/>
                <w:lang w:eastAsia="ru-RU"/>
              </w:rPr>
              <w:t>.</w:t>
            </w:r>
          </w:p>
        </w:tc>
        <w:tc>
          <w:tcPr>
            <w:tcW w:w="1087" w:type="dxa"/>
            <w:shd w:val="clear" w:color="auto" w:fill="auto"/>
          </w:tcPr>
          <w:p w:rsidR="005C4D75" w:rsidRPr="00E03DA3" w:rsidRDefault="005C4D75" w:rsidP="005C4D75">
            <w:pPr>
              <w:spacing w:after="0" w:line="240" w:lineRule="auto"/>
              <w:jc w:val="center"/>
              <w:rPr>
                <w:rFonts w:ascii="Times New Roman" w:hAnsi="Times New Roman" w:cs="Times New Roman"/>
                <w:lang w:eastAsia="ru-RU"/>
              </w:rPr>
            </w:pPr>
            <w:r>
              <w:rPr>
                <w:rFonts w:ascii="Times New Roman" w:hAnsi="Times New Roman" w:cs="Times New Roman"/>
                <w:lang w:eastAsia="ru-RU"/>
              </w:rPr>
              <w:lastRenderedPageBreak/>
              <w:t>1</w:t>
            </w:r>
          </w:p>
        </w:tc>
        <w:tc>
          <w:tcPr>
            <w:tcW w:w="1242" w:type="dxa"/>
            <w:shd w:val="clear" w:color="auto" w:fill="auto"/>
          </w:tcPr>
          <w:p w:rsidR="005C4D75" w:rsidRPr="00E03DA3" w:rsidRDefault="005C4D75" w:rsidP="005C4D75">
            <w:pPr>
              <w:spacing w:after="0" w:line="240" w:lineRule="auto"/>
              <w:jc w:val="center"/>
              <w:rPr>
                <w:rFonts w:ascii="Times New Roman" w:hAnsi="Times New Roman" w:cs="Times New Roman"/>
                <w:lang w:eastAsia="ru-RU"/>
              </w:rPr>
            </w:pPr>
            <w:r>
              <w:rPr>
                <w:rFonts w:ascii="Times New Roman" w:hAnsi="Times New Roman" w:cs="Times New Roman"/>
                <w:lang w:eastAsia="ru-RU"/>
              </w:rPr>
              <w:t>комплект</w:t>
            </w:r>
          </w:p>
        </w:tc>
        <w:tc>
          <w:tcPr>
            <w:tcW w:w="1553" w:type="dxa"/>
          </w:tcPr>
          <w:p w:rsidR="005C4D75" w:rsidRPr="00E03DA3" w:rsidRDefault="005C4D75" w:rsidP="005C4D75">
            <w:pPr>
              <w:jc w:val="center"/>
              <w:rPr>
                <w:rFonts w:ascii="Times New Roman" w:hAnsi="Times New Roman" w:cs="Times New Roman"/>
              </w:rPr>
            </w:pPr>
            <w:r>
              <w:rPr>
                <w:rFonts w:ascii="Times New Roman" w:hAnsi="Times New Roman" w:cs="Times New Roman"/>
              </w:rPr>
              <w:t>32.50.50.190</w:t>
            </w:r>
          </w:p>
        </w:tc>
        <w:tc>
          <w:tcPr>
            <w:tcW w:w="1242" w:type="dxa"/>
            <w:shd w:val="clear" w:color="auto" w:fill="FFFFCC"/>
          </w:tcPr>
          <w:p w:rsidR="005C4D75" w:rsidRPr="005C4D75" w:rsidRDefault="005C4D75" w:rsidP="005C4D7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C4D75" w:rsidRPr="005C4D75" w:rsidRDefault="005C4D75" w:rsidP="005C4D75">
            <w:pPr>
              <w:spacing w:after="0" w:line="240" w:lineRule="auto"/>
              <w:jc w:val="center"/>
              <w:rPr>
                <w:rFonts w:ascii="Times New Roman" w:eastAsia="Times New Roman" w:hAnsi="Times New Roman" w:cs="Times New Roman"/>
                <w:lang w:eastAsia="ru-RU"/>
              </w:rPr>
            </w:pPr>
          </w:p>
        </w:tc>
        <w:tc>
          <w:tcPr>
            <w:tcW w:w="1088" w:type="dxa"/>
            <w:shd w:val="clear" w:color="auto" w:fill="FFFFCC"/>
          </w:tcPr>
          <w:p w:rsidR="005C4D75" w:rsidRPr="005C4D75" w:rsidRDefault="005C4D75" w:rsidP="005C4D75">
            <w:pPr>
              <w:spacing w:after="0" w:line="240" w:lineRule="auto"/>
              <w:jc w:val="center"/>
              <w:rPr>
                <w:rFonts w:ascii="Times New Roman" w:eastAsia="Times New Roman" w:hAnsi="Times New Roman" w:cs="Times New Roman"/>
                <w:lang w:eastAsia="ru-RU"/>
              </w:rPr>
            </w:pPr>
          </w:p>
        </w:tc>
        <w:tc>
          <w:tcPr>
            <w:tcW w:w="1085" w:type="dxa"/>
            <w:shd w:val="clear" w:color="auto" w:fill="FFFFCC"/>
          </w:tcPr>
          <w:p w:rsidR="005C4D75" w:rsidRPr="005C4D75" w:rsidRDefault="005C4D75" w:rsidP="005C4D75">
            <w:pPr>
              <w:spacing w:after="0" w:line="240" w:lineRule="auto"/>
              <w:jc w:val="center"/>
              <w:rPr>
                <w:rFonts w:ascii="Times New Roman" w:eastAsia="Times New Roman" w:hAnsi="Times New Roman" w:cs="Times New Roman"/>
                <w:lang w:eastAsia="ru-RU"/>
              </w:rPr>
            </w:pPr>
          </w:p>
        </w:tc>
      </w:tr>
      <w:tr w:rsidR="005C4D75" w:rsidRPr="001206FF" w:rsidTr="001D7F2D">
        <w:trPr>
          <w:trHeight w:val="20"/>
          <w:jc w:val="center"/>
        </w:trPr>
        <w:tc>
          <w:tcPr>
            <w:tcW w:w="569" w:type="dxa"/>
          </w:tcPr>
          <w:p w:rsidR="005C4D75" w:rsidRPr="00A42088" w:rsidRDefault="005C4D75" w:rsidP="005C4D7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8" w:type="dxa"/>
            <w:tcBorders>
              <w:top w:val="single" w:sz="6" w:space="0" w:color="000000"/>
              <w:left w:val="single" w:sz="6" w:space="0" w:color="000000"/>
              <w:bottom w:val="single" w:sz="6" w:space="0" w:color="000000"/>
              <w:right w:val="single" w:sz="6" w:space="0" w:color="000000"/>
            </w:tcBorders>
            <w:vAlign w:val="center"/>
          </w:tcPr>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r w:rsidRPr="008D5A16">
              <w:rPr>
                <w:rFonts w:ascii="Times New Roman" w:eastAsia="Calibri" w:hAnsi="Times New Roman" w:cs="Times New Roman"/>
                <w:color w:val="000000"/>
                <w:lang w:eastAsia="ru-RU"/>
              </w:rPr>
              <w:t>Винт полиаксиальный в комплекте с фиксирующей гайкой</w:t>
            </w: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Pr="000316D6"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434" w:type="dxa"/>
            <w:tcBorders>
              <w:top w:val="single" w:sz="6" w:space="0" w:color="000000"/>
              <w:left w:val="single" w:sz="6" w:space="0" w:color="000000"/>
              <w:bottom w:val="single" w:sz="6" w:space="0" w:color="000000"/>
              <w:right w:val="single" w:sz="6" w:space="0" w:color="000000"/>
            </w:tcBorders>
            <w:vAlign w:val="center"/>
          </w:tcPr>
          <w:p w:rsidR="005C4D75" w:rsidRPr="000316D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Предназначен для транспедикулярной фиксации позвоночно-двигательных сегментов. Материал изготовления - титановый сплав TA6V4 или эквивалентный, соответствующий стандарту ISO5832.3 Форма кончика винта</w:t>
            </w:r>
            <w:r w:rsidRPr="008D5A16">
              <w:rPr>
                <w:rFonts w:ascii="Times New Roman" w:eastAsia="Times New Roman" w:hAnsi="Times New Roman" w:cs="Times New Roman"/>
                <w:lang w:eastAsia="ru-RU"/>
              </w:rPr>
              <w:tab/>
              <w:t>конусная форма на треть длины от кончика. Тип винта самонарезной. Маркировка на головке винта цветовая маркировка типа винта, диаметр и длина винта, номер лота. Область для имплантации на всех уровнях позвоночника, начиная с верхне-грудного и заканчивая пояснично-крестцовым, включая проведение винтов в подвздошные гребни. Способ крепления хирургических инструментов</w:t>
            </w:r>
            <w:r w:rsidRPr="008D5A16">
              <w:rPr>
                <w:rFonts w:ascii="Times New Roman" w:eastAsia="Times New Roman" w:hAnsi="Times New Roman" w:cs="Times New Roman"/>
                <w:lang w:eastAsia="ru-RU"/>
              </w:rPr>
              <w:tab/>
              <w:t xml:space="preserve">круглые выемки на медиальной и латеральной части головки винта. Полиаксиальность головки винта 50 градусов. Высота профиля головки винта 14 мм. Сагиттальная ширина 10 мм. Диапазон диаметра винта от 4 мм до 8 мм с шагом в 1 мм. Диапазон длины винта диаметром 4 мм от 25 мм до 45 мм с шагом в 5 мм. Диапазон длины винта диаметром 5 мм от 30 мм до 50 мм с шагом в 5 мм. Диапазон длины винта диаметром 6 мм от 30 мм до 55 мм с шагом в 5 мм; от 60 мм до 90 мм с шагом в 10 мм. Диапазон длины винта диаметром 7 мм от 30 мм до 55 мм с шагом в 5 мм; от 60 мм до 90 мм с шагом в 10 мм. Диапазон длины винта диаметром 8 мм от 30 мм до 55 мм с шагом в 5 мм; от 60 мм до 90 мм с шагом в 10 мм. Тип фиксирующей гайки однокомпонентная, низкопрофильная, универсальная - подходит ко всем фиксирующим элементам транспедикулярной системы (моноаксиальным </w:t>
            </w:r>
            <w:r>
              <w:rPr>
                <w:rFonts w:ascii="Times New Roman" w:eastAsia="Times New Roman" w:hAnsi="Times New Roman" w:cs="Times New Roman"/>
                <w:lang w:eastAsia="ru-RU"/>
              </w:rPr>
              <w:t xml:space="preserve">винтам, полиаксиальным винтам, </w:t>
            </w:r>
            <w:r w:rsidRPr="008D5A16">
              <w:rPr>
                <w:rFonts w:ascii="Times New Roman" w:eastAsia="Times New Roman" w:hAnsi="Times New Roman" w:cs="Times New Roman"/>
                <w:lang w:eastAsia="ru-RU"/>
              </w:rPr>
              <w:t>винтам полиаксильным для коррекции спондилолистеза, винтам полиаксиальным канюлированным, различным вариантам крючков и коннекторам стержней). Тип шлица внутренний шлиц в виде шестигранника 4 мм. Маркировка на гайке на верхней (внешней) стороне гайки. Момент сил при затягивании гайки 13 Нм.</w:t>
            </w:r>
          </w:p>
        </w:tc>
        <w:tc>
          <w:tcPr>
            <w:tcW w:w="1087" w:type="dxa"/>
            <w:shd w:val="clear" w:color="auto" w:fill="auto"/>
          </w:tcPr>
          <w:p w:rsidR="005C4D75" w:rsidRPr="00E03DA3" w:rsidRDefault="005C4D75" w:rsidP="005C4D75">
            <w:pPr>
              <w:spacing w:after="0" w:line="240" w:lineRule="auto"/>
              <w:jc w:val="center"/>
              <w:rPr>
                <w:rFonts w:ascii="Times New Roman" w:hAnsi="Times New Roman" w:cs="Times New Roman"/>
                <w:lang w:eastAsia="ru-RU"/>
              </w:rPr>
            </w:pPr>
            <w:r>
              <w:rPr>
                <w:rFonts w:ascii="Times New Roman" w:hAnsi="Times New Roman" w:cs="Times New Roman"/>
                <w:lang w:eastAsia="ru-RU"/>
              </w:rPr>
              <w:t>11</w:t>
            </w:r>
          </w:p>
        </w:tc>
        <w:tc>
          <w:tcPr>
            <w:tcW w:w="1242" w:type="dxa"/>
            <w:shd w:val="clear" w:color="auto" w:fill="auto"/>
          </w:tcPr>
          <w:p w:rsidR="005C4D75" w:rsidRPr="00E03DA3" w:rsidRDefault="005C4D75" w:rsidP="005C4D75">
            <w:pPr>
              <w:spacing w:after="0" w:line="240" w:lineRule="auto"/>
              <w:jc w:val="center"/>
              <w:rPr>
                <w:rFonts w:ascii="Times New Roman" w:hAnsi="Times New Roman" w:cs="Times New Roman"/>
                <w:lang w:eastAsia="ru-RU"/>
              </w:rPr>
            </w:pPr>
            <w:r>
              <w:rPr>
                <w:rFonts w:ascii="Times New Roman" w:hAnsi="Times New Roman" w:cs="Times New Roman"/>
                <w:lang w:eastAsia="ru-RU"/>
              </w:rPr>
              <w:t>штука</w:t>
            </w:r>
          </w:p>
        </w:tc>
        <w:tc>
          <w:tcPr>
            <w:tcW w:w="1553" w:type="dxa"/>
          </w:tcPr>
          <w:p w:rsidR="005C4D75" w:rsidRPr="00E03DA3" w:rsidRDefault="005C4D75" w:rsidP="005C4D75">
            <w:pPr>
              <w:jc w:val="center"/>
              <w:rPr>
                <w:rFonts w:ascii="Times New Roman" w:hAnsi="Times New Roman" w:cs="Times New Roman"/>
              </w:rPr>
            </w:pPr>
            <w:r>
              <w:rPr>
                <w:rFonts w:ascii="Times New Roman" w:hAnsi="Times New Roman" w:cs="Times New Roman"/>
              </w:rPr>
              <w:t>32.50.22.127</w:t>
            </w:r>
          </w:p>
        </w:tc>
        <w:tc>
          <w:tcPr>
            <w:tcW w:w="1242"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c>
          <w:tcPr>
            <w:tcW w:w="1088"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c>
          <w:tcPr>
            <w:tcW w:w="1085"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r>
      <w:tr w:rsidR="005C4D75" w:rsidRPr="001206FF" w:rsidTr="001D7F2D">
        <w:trPr>
          <w:trHeight w:val="20"/>
          <w:jc w:val="center"/>
        </w:trPr>
        <w:tc>
          <w:tcPr>
            <w:tcW w:w="569" w:type="dxa"/>
          </w:tcPr>
          <w:p w:rsidR="005C4D75" w:rsidRPr="00A42088" w:rsidRDefault="005C4D75" w:rsidP="005C4D7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58" w:type="dxa"/>
            <w:tcBorders>
              <w:top w:val="single" w:sz="6" w:space="0" w:color="000000"/>
              <w:left w:val="single" w:sz="6" w:space="0" w:color="000000"/>
              <w:bottom w:val="single" w:sz="6" w:space="0" w:color="000000"/>
              <w:right w:val="single" w:sz="6" w:space="0" w:color="000000"/>
            </w:tcBorders>
            <w:vAlign w:val="center"/>
          </w:tcPr>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r w:rsidRPr="008D5A16">
              <w:rPr>
                <w:rFonts w:ascii="Times New Roman" w:eastAsia="Calibri" w:hAnsi="Times New Roman" w:cs="Times New Roman"/>
                <w:color w:val="000000"/>
                <w:lang w:eastAsia="ru-RU"/>
              </w:rPr>
              <w:t>Стержень прямой титановый</w:t>
            </w: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p w:rsidR="005C4D75" w:rsidRPr="000316D6" w:rsidRDefault="005C4D75" w:rsidP="005C4D75">
            <w:pPr>
              <w:autoSpaceDE w:val="0"/>
              <w:autoSpaceDN w:val="0"/>
              <w:adjustRightInd w:val="0"/>
              <w:spacing w:after="0" w:line="240" w:lineRule="auto"/>
              <w:jc w:val="center"/>
              <w:rPr>
                <w:rFonts w:ascii="Times New Roman" w:eastAsia="Calibri" w:hAnsi="Times New Roman" w:cs="Times New Roman"/>
                <w:color w:val="000000"/>
                <w:lang w:eastAsia="ru-RU"/>
              </w:rPr>
            </w:pPr>
          </w:p>
        </w:tc>
        <w:tc>
          <w:tcPr>
            <w:tcW w:w="5434" w:type="dxa"/>
            <w:tcBorders>
              <w:top w:val="single" w:sz="6" w:space="0" w:color="000000"/>
              <w:left w:val="single" w:sz="6" w:space="0" w:color="000000"/>
              <w:bottom w:val="single" w:sz="6" w:space="0" w:color="000000"/>
              <w:right w:val="single" w:sz="6" w:space="0" w:color="000000"/>
            </w:tcBorders>
            <w:vAlign w:val="center"/>
          </w:tcPr>
          <w:p w:rsidR="005C4D75" w:rsidRPr="000316D6" w:rsidRDefault="005C4D75" w:rsidP="005C4D75">
            <w:pPr>
              <w:autoSpaceDE w:val="0"/>
              <w:autoSpaceDN w:val="0"/>
              <w:adjustRightInd w:val="0"/>
              <w:spacing w:after="0" w:line="240" w:lineRule="auto"/>
              <w:rPr>
                <w:rFonts w:ascii="Times New Roman" w:eastAsia="Times New Roman" w:hAnsi="Times New Roman" w:cs="Times New Roman"/>
                <w:lang w:eastAsia="ru-RU"/>
              </w:rPr>
            </w:pPr>
            <w:r w:rsidRPr="008D5A16">
              <w:rPr>
                <w:rFonts w:ascii="Times New Roman" w:eastAsia="Times New Roman" w:hAnsi="Times New Roman" w:cs="Times New Roman"/>
                <w:lang w:eastAsia="ru-RU"/>
              </w:rPr>
              <w:t>Форма стержня – прямой, гладкий. Материал изготовления</w:t>
            </w:r>
            <w:r w:rsidRPr="008D5A16">
              <w:rPr>
                <w:rFonts w:ascii="Times New Roman" w:eastAsia="Times New Roman" w:hAnsi="Times New Roman" w:cs="Times New Roman"/>
                <w:lang w:eastAsia="ru-RU"/>
              </w:rPr>
              <w:tab/>
              <w:t>Титановый сплав TA6V4, соответствующий стандарту ISO5832.3 Маркировка на стержне диаметр и длина стержня, номер лота, сагиттальная линия. Диаметр стержня 5,4 мм. Форма кончика шестигранное сечение. Варианты длины стержня - 500 мм, 550 мм</w:t>
            </w:r>
          </w:p>
        </w:tc>
        <w:tc>
          <w:tcPr>
            <w:tcW w:w="1087" w:type="dxa"/>
            <w:shd w:val="clear" w:color="auto" w:fill="auto"/>
          </w:tcPr>
          <w:p w:rsidR="005C4D75" w:rsidRPr="00E03DA3" w:rsidRDefault="005C4D75" w:rsidP="005C4D75">
            <w:pPr>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1242" w:type="dxa"/>
            <w:shd w:val="clear" w:color="auto" w:fill="auto"/>
          </w:tcPr>
          <w:p w:rsidR="005C4D75" w:rsidRPr="00E03DA3" w:rsidRDefault="005C4D75" w:rsidP="005C4D75">
            <w:pPr>
              <w:spacing w:after="0" w:line="240" w:lineRule="auto"/>
              <w:jc w:val="center"/>
              <w:rPr>
                <w:rFonts w:ascii="Times New Roman" w:hAnsi="Times New Roman" w:cs="Times New Roman"/>
                <w:lang w:eastAsia="ru-RU"/>
              </w:rPr>
            </w:pPr>
            <w:r>
              <w:rPr>
                <w:rFonts w:ascii="Times New Roman" w:hAnsi="Times New Roman" w:cs="Times New Roman"/>
                <w:lang w:eastAsia="ru-RU"/>
              </w:rPr>
              <w:t>штука</w:t>
            </w:r>
          </w:p>
        </w:tc>
        <w:tc>
          <w:tcPr>
            <w:tcW w:w="1553" w:type="dxa"/>
          </w:tcPr>
          <w:p w:rsidR="005C4D75" w:rsidRPr="00E03DA3" w:rsidRDefault="005C4D75" w:rsidP="005C4D75">
            <w:pPr>
              <w:jc w:val="center"/>
              <w:rPr>
                <w:rFonts w:ascii="Times New Roman" w:hAnsi="Times New Roman" w:cs="Times New Roman"/>
              </w:rPr>
            </w:pPr>
            <w:r>
              <w:rPr>
                <w:rFonts w:ascii="Times New Roman" w:hAnsi="Times New Roman" w:cs="Times New Roman"/>
              </w:rPr>
              <w:t>32.50.22.127</w:t>
            </w:r>
          </w:p>
        </w:tc>
        <w:tc>
          <w:tcPr>
            <w:tcW w:w="1242"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c>
          <w:tcPr>
            <w:tcW w:w="777"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c>
          <w:tcPr>
            <w:tcW w:w="1088"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c>
          <w:tcPr>
            <w:tcW w:w="1085" w:type="dxa"/>
            <w:shd w:val="clear" w:color="auto" w:fill="FFFFCC"/>
          </w:tcPr>
          <w:p w:rsidR="005C4D75" w:rsidRPr="001206FF" w:rsidRDefault="005C4D75" w:rsidP="005C4D75">
            <w:pPr>
              <w:spacing w:after="0" w:line="240" w:lineRule="auto"/>
              <w:jc w:val="center"/>
              <w:rPr>
                <w:rFonts w:ascii="Times New Roman" w:eastAsia="Times New Roman" w:hAnsi="Times New Roman" w:cs="Times New Roman"/>
                <w:lang w:eastAsia="ru-RU"/>
              </w:rPr>
            </w:pPr>
          </w:p>
        </w:tc>
      </w:tr>
    </w:tbl>
    <w:p w:rsidR="005C4D75" w:rsidRDefault="005C4D75" w:rsidP="005C4D75">
      <w:pPr>
        <w:rPr>
          <w:rFonts w:ascii="Times New Roman" w:hAnsi="Times New Roman" w:cs="Times New Roman"/>
          <w:b/>
          <w:sz w:val="28"/>
          <w:szCs w:val="28"/>
        </w:rPr>
        <w:sectPr w:rsidR="005C4D75" w:rsidSect="001206FF">
          <w:headerReference w:type="first" r:id="rId18"/>
          <w:footerReference w:type="first" r:id="rId19"/>
          <w:pgSz w:w="16838" w:h="11906" w:orient="landscape"/>
          <w:pgMar w:top="1701" w:right="539" w:bottom="851" w:left="567" w:header="567" w:footer="567" w:gutter="0"/>
          <w:cols w:space="708"/>
          <w:titlePg/>
          <w:docGrid w:linePitch="360"/>
        </w:sectPr>
      </w:pPr>
    </w:p>
    <w:p w:rsidR="005C4D75" w:rsidRDefault="005C4D75" w:rsidP="005C4D7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5C4D75">
      <w:headerReference w:type="first" r:id="rId20"/>
      <w:footerReference w:type="first" r:id="rId21"/>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22C" w:rsidRDefault="003E222C">
      <w:pPr>
        <w:spacing w:after="0" w:line="240" w:lineRule="auto"/>
      </w:pPr>
      <w:r>
        <w:separator/>
      </w:r>
    </w:p>
  </w:endnote>
  <w:endnote w:type="continuationSeparator" w:id="0">
    <w:p w:rsidR="003E222C" w:rsidRDefault="003E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398D" w:rsidRDefault="0099398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398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9398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9398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398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C4D75" w:rsidRDefault="0099398D">
    <w:pPr>
      <w:pStyle w:val="ab"/>
      <w:jc w:val="right"/>
    </w:pPr>
    <w:sdt>
      <w:sdtPr>
        <w:id w:val="886151154"/>
        <w:docPartObj>
          <w:docPartGallery w:val="Page Numbers (Bottom of Page)"/>
          <w:docPartUnique/>
        </w:docPartObj>
      </w:sdtPr>
      <w:sdtEndPr/>
      <w:sdtContent>
        <w:r w:rsidR="005C4D75">
          <w:fldChar w:fldCharType="begin"/>
        </w:r>
        <w:r w:rsidR="005C4D75">
          <w:instrText>PAGE   \* MERGEFORMAT</w:instrText>
        </w:r>
        <w:r w:rsidR="005C4D75">
          <w:fldChar w:fldCharType="separate"/>
        </w:r>
        <w:r>
          <w:rPr>
            <w:noProof/>
          </w:rPr>
          <w:t>3</w:t>
        </w:r>
        <w:r w:rsidR="005C4D75">
          <w:fldChar w:fldCharType="end"/>
        </w:r>
      </w:sdtContent>
    </w:sdt>
  </w:p>
  <w:p w:rsidR="005C4D75" w:rsidRDefault="005C4D75" w:rsidP="00C645BD">
    <w:pPr>
      <w:pStyle w:val="ab"/>
    </w:pP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9398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C4D75">
          <w:rPr>
            <w:noProof/>
          </w:rPr>
          <w:t>6</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22C" w:rsidRDefault="003E222C">
      <w:pPr>
        <w:spacing w:after="0" w:line="240" w:lineRule="auto"/>
      </w:pPr>
      <w:r>
        <w:separator/>
      </w:r>
    </w:p>
  </w:footnote>
  <w:footnote w:type="continuationSeparator" w:id="0">
    <w:p w:rsidR="003E222C" w:rsidRDefault="003E222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398D" w:rsidRDefault="0099398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398D" w:rsidRDefault="0099398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9398D" w:rsidRDefault="0099398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C4D75" w:rsidRPr="006B0C1A" w:rsidRDefault="005C4D75" w:rsidP="006B0C1A">
    <w:pPr>
      <w:pStyle w:val="a4"/>
    </w:pP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222C"/>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4D75"/>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9398D"/>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C8D1-81E3-43EB-B2EA-930C5899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2025-04-21T10:37:00Z</dcterms:created>
  <dcterms:modified xsi:type="dcterms:W3CDTF">2025-04-21T10:37:00Z</dcterms:modified>
</cp:coreProperties>
</file>