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1"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21.04.2025 № 21.1-03/776</w:t>
            </w:r>
            <w:r w:rsidRPr="00E271DF">
              <w:rPr>
                <w:rFonts w:ascii="Times New Roman" w:hAnsi="Times New Roman" w:cs="Times New Roman"/>
                <w:b/>
                <w:sz w:val="24"/>
                <w:szCs w:val="24"/>
              </w:rPr>
              <w:fldChar w:fldCharType="end"/>
            </w:r>
            <w:bookmarkEnd w:id="1"/>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2"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23.04.2025</w:t>
                  </w:r>
                  <w:r w:rsidRPr="00A70444">
                    <w:rPr>
                      <w:rFonts w:ascii="Times New Roman" w:hAnsi="Times New Roman" w:cs="Times New Roman"/>
                      <w:b/>
                      <w:sz w:val="24"/>
                      <w:szCs w:val="24"/>
                      <w:u w:val="single"/>
                    </w:rPr>
                    <w:fldChar w:fldCharType="end"/>
                  </w:r>
                  <w:bookmarkEnd w:id="2"/>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725AB">
          <w:footerReference w:type="default" r:id="rId10"/>
          <w:footerReference w:type="first" r:id="rId11"/>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7D12C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3"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эндопротезов</w:t>
            </w:r>
            <w:r w:rsidRPr="003D1995">
              <w:rPr>
                <w:rFonts w:ascii="Times New Roman" w:hAnsi="Times New Roman" w:cs="Times New Roman"/>
                <w:b/>
                <w:sz w:val="24"/>
                <w:szCs w:val="24"/>
              </w:rPr>
              <w:fldChar w:fldCharType="end"/>
            </w:r>
            <w:bookmarkEnd w:id="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4"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5"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6"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7"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8"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4"/>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7D12C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5"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5"/>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6"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7D12C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7"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8"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19"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19"/>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2"/>
          <w:footerReference w:type="first" r:id="rId13"/>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48" w:type="pct"/>
        <w:tblInd w:w="-152" w:type="dxa"/>
        <w:tblLayout w:type="fixed"/>
        <w:tblLook w:val="04A0" w:firstRow="1" w:lastRow="0" w:firstColumn="1" w:lastColumn="0" w:noHBand="0" w:noVBand="1"/>
      </w:tblPr>
      <w:tblGrid>
        <w:gridCol w:w="439"/>
        <w:gridCol w:w="1527"/>
        <w:gridCol w:w="1134"/>
        <w:gridCol w:w="2415"/>
        <w:gridCol w:w="1275"/>
        <w:gridCol w:w="1134"/>
        <w:gridCol w:w="2264"/>
        <w:gridCol w:w="1137"/>
        <w:gridCol w:w="1047"/>
        <w:gridCol w:w="863"/>
        <w:gridCol w:w="863"/>
        <w:gridCol w:w="1008"/>
        <w:gridCol w:w="995"/>
      </w:tblGrid>
      <w:tr w:rsidR="007D12C9" w:rsidRPr="007D12C9" w:rsidTr="00CD1D6B">
        <w:trPr>
          <w:trHeight w:val="402"/>
        </w:trPr>
        <w:tc>
          <w:tcPr>
            <w:tcW w:w="136" w:type="pct"/>
            <w:vMerge w:val="restart"/>
            <w:tcBorders>
              <w:top w:val="single" w:sz="8" w:space="0" w:color="000000"/>
              <w:left w:val="single" w:sz="8" w:space="0" w:color="000000"/>
              <w:bottom w:val="single" w:sz="8" w:space="0" w:color="000000"/>
              <w:right w:val="single" w:sz="8" w:space="0" w:color="000000"/>
            </w:tcBorders>
            <w:vAlign w:val="center"/>
            <w:hideMark/>
          </w:tcPr>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 </w:t>
            </w:r>
            <w:r>
              <w:rPr>
                <w:rFonts w:ascii="Times New Roman" w:eastAsia="Times New Roman" w:hAnsi="Times New Roman" w:cs="Times New Roman"/>
                <w:b/>
                <w:bCs/>
                <w:color w:val="000000"/>
                <w:sz w:val="16"/>
                <w:szCs w:val="16"/>
                <w:lang w:eastAsia="ru-RU"/>
              </w:rPr>
              <w:t>№ п/п</w:t>
            </w:r>
          </w:p>
        </w:tc>
        <w:tc>
          <w:tcPr>
            <w:tcW w:w="474" w:type="pct"/>
            <w:vMerge w:val="restart"/>
            <w:tcBorders>
              <w:top w:val="single" w:sz="8" w:space="0" w:color="000000"/>
              <w:left w:val="single" w:sz="8" w:space="0" w:color="000000"/>
              <w:bottom w:val="single" w:sz="8" w:space="0" w:color="000000"/>
              <w:right w:val="single" w:sz="8" w:space="0" w:color="000000"/>
            </w:tcBorders>
            <w:vAlign w:val="center"/>
            <w:hideMark/>
          </w:tcPr>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Наименование товара, работы, услуги</w:t>
            </w:r>
          </w:p>
        </w:tc>
        <w:tc>
          <w:tcPr>
            <w:tcW w:w="352" w:type="pct"/>
            <w:vMerge w:val="restart"/>
            <w:tcBorders>
              <w:top w:val="single" w:sz="8" w:space="0" w:color="000000"/>
              <w:left w:val="single" w:sz="8" w:space="0" w:color="000000"/>
              <w:bottom w:val="single" w:sz="8" w:space="0" w:color="000000"/>
              <w:right w:val="single" w:sz="8" w:space="0" w:color="000000"/>
            </w:tcBorders>
            <w:vAlign w:val="center"/>
            <w:hideMark/>
          </w:tcPr>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Код позиции</w:t>
            </w:r>
          </w:p>
        </w:tc>
        <w:tc>
          <w:tcPr>
            <w:tcW w:w="2201" w:type="pct"/>
            <w:gridSpan w:val="4"/>
            <w:tcBorders>
              <w:top w:val="single" w:sz="8" w:space="0" w:color="000000"/>
              <w:left w:val="nil"/>
              <w:bottom w:val="single" w:sz="8" w:space="0" w:color="000000"/>
              <w:right w:val="single" w:sz="8" w:space="0" w:color="000000"/>
            </w:tcBorders>
            <w:vAlign w:val="center"/>
            <w:hideMark/>
          </w:tcPr>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Характеристики товара, работы, услуги</w:t>
            </w:r>
          </w:p>
        </w:tc>
        <w:tc>
          <w:tcPr>
            <w:tcW w:w="353" w:type="pct"/>
            <w:vMerge w:val="restart"/>
            <w:tcBorders>
              <w:top w:val="single" w:sz="8" w:space="0" w:color="000000"/>
              <w:left w:val="single" w:sz="8" w:space="0" w:color="000000"/>
              <w:bottom w:val="single" w:sz="8" w:space="0" w:color="000000"/>
              <w:right w:val="single" w:sz="8" w:space="0" w:color="000000"/>
            </w:tcBorders>
            <w:vAlign w:val="center"/>
            <w:hideMark/>
          </w:tcPr>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Количество</w:t>
            </w:r>
          </w:p>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(объем работы, услуги)</w:t>
            </w:r>
          </w:p>
        </w:tc>
        <w:tc>
          <w:tcPr>
            <w:tcW w:w="325" w:type="pct"/>
            <w:vMerge w:val="restart"/>
            <w:tcBorders>
              <w:top w:val="single" w:sz="8" w:space="0" w:color="000000"/>
              <w:left w:val="single" w:sz="8" w:space="0" w:color="000000"/>
              <w:bottom w:val="single" w:sz="8" w:space="0" w:color="000000"/>
              <w:right w:val="nil"/>
            </w:tcBorders>
            <w:vAlign w:val="center"/>
            <w:hideMark/>
          </w:tcPr>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Единица измерения</w:t>
            </w:r>
          </w:p>
        </w:tc>
        <w:tc>
          <w:tcPr>
            <w:tcW w:w="268" w:type="pct"/>
            <w:vMerge w:val="restart"/>
            <w:tcBorders>
              <w:top w:val="single" w:sz="4" w:space="0" w:color="auto"/>
              <w:left w:val="single" w:sz="4" w:space="0" w:color="auto"/>
              <w:bottom w:val="single" w:sz="4" w:space="0" w:color="000000"/>
              <w:right w:val="single" w:sz="4" w:space="0" w:color="auto"/>
            </w:tcBorders>
            <w:noWrap/>
            <w:vAlign w:val="bottom"/>
            <w:hideMark/>
          </w:tcPr>
          <w:p w:rsidR="007D12C9" w:rsidRPr="007D12C9" w:rsidRDefault="007D12C9" w:rsidP="007D12C9">
            <w:pPr>
              <w:spacing w:after="0" w:line="240" w:lineRule="auto"/>
              <w:jc w:val="center"/>
              <w:rPr>
                <w:rFonts w:ascii="Times New Roman" w:eastAsia="Times New Roman" w:hAnsi="Times New Roman" w:cs="Times New Roman"/>
                <w:b/>
                <w:color w:val="000000"/>
                <w:sz w:val="16"/>
                <w:szCs w:val="16"/>
                <w:lang w:eastAsia="ru-RU"/>
              </w:rPr>
            </w:pPr>
            <w:r w:rsidRPr="007D12C9">
              <w:rPr>
                <w:rFonts w:ascii="Times New Roman" w:eastAsia="Times New Roman" w:hAnsi="Times New Roman" w:cs="Times New Roman"/>
                <w:b/>
                <w:color w:val="000000"/>
                <w:sz w:val="16"/>
                <w:szCs w:val="16"/>
                <w:lang w:eastAsia="ru-RU"/>
              </w:rPr>
              <w:t>Страна происхождения товара</w:t>
            </w:r>
          </w:p>
          <w:p w:rsidR="007D12C9" w:rsidRPr="007D12C9" w:rsidRDefault="007D12C9" w:rsidP="007D12C9">
            <w:pPr>
              <w:spacing w:after="0" w:line="240" w:lineRule="auto"/>
              <w:jc w:val="center"/>
              <w:rPr>
                <w:rFonts w:ascii="Times New Roman" w:eastAsia="Times New Roman" w:hAnsi="Times New Roman" w:cs="Times New Roman"/>
                <w:b/>
                <w:color w:val="000000"/>
                <w:sz w:val="16"/>
                <w:szCs w:val="16"/>
                <w:lang w:eastAsia="ru-RU"/>
              </w:rPr>
            </w:pPr>
          </w:p>
        </w:tc>
        <w:tc>
          <w:tcPr>
            <w:tcW w:w="268" w:type="pct"/>
            <w:vMerge w:val="restart"/>
            <w:tcBorders>
              <w:top w:val="single" w:sz="4" w:space="0" w:color="auto"/>
              <w:left w:val="single" w:sz="4" w:space="0" w:color="auto"/>
              <w:bottom w:val="single" w:sz="4" w:space="0" w:color="000000"/>
              <w:right w:val="single" w:sz="4" w:space="0" w:color="auto"/>
            </w:tcBorders>
            <w:noWrap/>
            <w:vAlign w:val="bottom"/>
            <w:hideMark/>
          </w:tcPr>
          <w:p w:rsidR="007D12C9" w:rsidRPr="007D12C9" w:rsidRDefault="007D12C9" w:rsidP="007D12C9">
            <w:pPr>
              <w:spacing w:after="0" w:line="240" w:lineRule="auto"/>
              <w:jc w:val="center"/>
              <w:rPr>
                <w:rFonts w:ascii="Times New Roman" w:eastAsia="Times New Roman" w:hAnsi="Times New Roman" w:cs="Times New Roman"/>
                <w:b/>
                <w:color w:val="000000"/>
                <w:sz w:val="16"/>
                <w:szCs w:val="16"/>
                <w:lang w:eastAsia="ru-RU"/>
              </w:rPr>
            </w:pPr>
            <w:r w:rsidRPr="007D12C9">
              <w:rPr>
                <w:rFonts w:ascii="Times New Roman" w:eastAsia="Times New Roman" w:hAnsi="Times New Roman" w:cs="Times New Roman"/>
                <w:b/>
                <w:color w:val="000000"/>
                <w:sz w:val="16"/>
                <w:szCs w:val="16"/>
                <w:lang w:eastAsia="ru-RU"/>
              </w:rPr>
              <w:t>Ставка НДС%</w:t>
            </w:r>
          </w:p>
          <w:p w:rsidR="007D12C9" w:rsidRPr="007D12C9" w:rsidRDefault="007D12C9" w:rsidP="007D12C9">
            <w:pPr>
              <w:spacing w:after="0" w:line="240" w:lineRule="auto"/>
              <w:jc w:val="center"/>
              <w:rPr>
                <w:rFonts w:ascii="Times New Roman" w:eastAsia="Times New Roman" w:hAnsi="Times New Roman" w:cs="Times New Roman"/>
                <w:b/>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b/>
                <w:color w:val="000000"/>
                <w:sz w:val="16"/>
                <w:szCs w:val="16"/>
                <w:lang w:eastAsia="ru-RU"/>
              </w:rPr>
            </w:pPr>
          </w:p>
        </w:tc>
        <w:tc>
          <w:tcPr>
            <w:tcW w:w="313" w:type="pct"/>
            <w:vMerge w:val="restart"/>
            <w:tcBorders>
              <w:top w:val="single" w:sz="4" w:space="0" w:color="auto"/>
              <w:left w:val="single" w:sz="4" w:space="0" w:color="auto"/>
              <w:bottom w:val="single" w:sz="4" w:space="0" w:color="000000"/>
              <w:right w:val="single" w:sz="4" w:space="0" w:color="auto"/>
            </w:tcBorders>
            <w:noWrap/>
            <w:vAlign w:val="bottom"/>
            <w:hideMark/>
          </w:tcPr>
          <w:p w:rsidR="007D12C9" w:rsidRPr="007D12C9" w:rsidRDefault="007D12C9" w:rsidP="007D12C9">
            <w:pPr>
              <w:spacing w:after="0" w:line="240" w:lineRule="auto"/>
              <w:jc w:val="center"/>
              <w:rPr>
                <w:rFonts w:ascii="Times New Roman" w:eastAsia="Times New Roman" w:hAnsi="Times New Roman" w:cs="Times New Roman"/>
                <w:b/>
                <w:color w:val="000000"/>
                <w:sz w:val="16"/>
                <w:szCs w:val="16"/>
                <w:lang w:eastAsia="ru-RU"/>
              </w:rPr>
            </w:pPr>
            <w:r w:rsidRPr="007D12C9">
              <w:rPr>
                <w:rFonts w:ascii="Times New Roman" w:eastAsia="Times New Roman" w:hAnsi="Times New Roman" w:cs="Times New Roman"/>
                <w:b/>
                <w:color w:val="000000"/>
                <w:sz w:val="16"/>
                <w:szCs w:val="16"/>
                <w:lang w:eastAsia="ru-RU"/>
              </w:rPr>
              <w:t>Цена за ед. без НДС</w:t>
            </w:r>
          </w:p>
          <w:p w:rsidR="007D12C9" w:rsidRPr="007D12C9" w:rsidRDefault="007D12C9" w:rsidP="007D12C9">
            <w:pPr>
              <w:spacing w:after="0" w:line="240" w:lineRule="auto"/>
              <w:jc w:val="center"/>
              <w:rPr>
                <w:rFonts w:ascii="Times New Roman" w:eastAsia="Times New Roman" w:hAnsi="Times New Roman" w:cs="Times New Roman"/>
                <w:b/>
                <w:color w:val="000000"/>
                <w:sz w:val="16"/>
                <w:szCs w:val="16"/>
                <w:lang w:eastAsia="ru-RU"/>
              </w:rPr>
            </w:pPr>
          </w:p>
        </w:tc>
        <w:tc>
          <w:tcPr>
            <w:tcW w:w="309" w:type="pct"/>
            <w:vMerge w:val="restart"/>
            <w:tcBorders>
              <w:top w:val="single" w:sz="4" w:space="0" w:color="auto"/>
              <w:left w:val="single" w:sz="4" w:space="0" w:color="auto"/>
              <w:bottom w:val="single" w:sz="4" w:space="0" w:color="000000"/>
              <w:right w:val="single" w:sz="4" w:space="0" w:color="auto"/>
            </w:tcBorders>
            <w:noWrap/>
            <w:vAlign w:val="bottom"/>
            <w:hideMark/>
          </w:tcPr>
          <w:p w:rsidR="007D12C9" w:rsidRPr="007D12C9" w:rsidRDefault="007D12C9" w:rsidP="007D12C9">
            <w:pPr>
              <w:spacing w:after="0" w:line="240" w:lineRule="auto"/>
              <w:jc w:val="center"/>
              <w:rPr>
                <w:rFonts w:ascii="Times New Roman" w:eastAsia="Times New Roman" w:hAnsi="Times New Roman" w:cs="Times New Roman"/>
                <w:b/>
                <w:color w:val="000000"/>
                <w:sz w:val="16"/>
                <w:szCs w:val="16"/>
                <w:lang w:eastAsia="ru-RU"/>
              </w:rPr>
            </w:pPr>
            <w:r w:rsidRPr="007D12C9">
              <w:rPr>
                <w:rFonts w:ascii="Times New Roman" w:eastAsia="Times New Roman" w:hAnsi="Times New Roman" w:cs="Times New Roman"/>
                <w:b/>
                <w:color w:val="000000"/>
                <w:sz w:val="16"/>
                <w:szCs w:val="16"/>
                <w:lang w:eastAsia="ru-RU"/>
              </w:rPr>
              <w:t>Сумма без НДС</w:t>
            </w:r>
          </w:p>
          <w:p w:rsidR="007D12C9" w:rsidRPr="007D12C9" w:rsidRDefault="007D12C9" w:rsidP="007D12C9">
            <w:pPr>
              <w:spacing w:after="0" w:line="240" w:lineRule="auto"/>
              <w:jc w:val="center"/>
              <w:rPr>
                <w:rFonts w:ascii="Times New Roman" w:eastAsia="Times New Roman" w:hAnsi="Times New Roman" w:cs="Times New Roman"/>
                <w:b/>
                <w:color w:val="000000"/>
                <w:sz w:val="16"/>
                <w:szCs w:val="16"/>
                <w:lang w:eastAsia="ru-RU"/>
              </w:rPr>
            </w:pPr>
          </w:p>
        </w:tc>
      </w:tr>
      <w:tr w:rsidR="007D12C9" w:rsidRPr="007D12C9" w:rsidTr="00CD1D6B">
        <w:trPr>
          <w:trHeight w:val="402"/>
        </w:trPr>
        <w:tc>
          <w:tcPr>
            <w:tcW w:w="136" w:type="pct"/>
            <w:vMerge/>
            <w:tcBorders>
              <w:top w:val="single" w:sz="8" w:space="0" w:color="000000"/>
              <w:left w:val="single" w:sz="8" w:space="0" w:color="000000"/>
              <w:bottom w:val="single" w:sz="8" w:space="0" w:color="000000"/>
              <w:right w:val="single" w:sz="8" w:space="0" w:color="000000"/>
            </w:tcBorders>
            <w:vAlign w:val="center"/>
            <w:hideMark/>
          </w:tcPr>
          <w:p w:rsidR="007D12C9" w:rsidRPr="007D12C9" w:rsidRDefault="007D12C9" w:rsidP="007D12C9">
            <w:pPr>
              <w:spacing w:after="0" w:line="240" w:lineRule="auto"/>
              <w:rPr>
                <w:rFonts w:ascii="Times New Roman" w:eastAsia="Times New Roman" w:hAnsi="Times New Roman" w:cs="Times New Roman"/>
                <w:b/>
                <w:bCs/>
                <w:color w:val="000000"/>
                <w:sz w:val="16"/>
                <w:szCs w:val="16"/>
                <w:lang w:eastAsia="ru-RU"/>
              </w:rPr>
            </w:pPr>
          </w:p>
        </w:tc>
        <w:tc>
          <w:tcPr>
            <w:tcW w:w="474" w:type="pct"/>
            <w:vMerge/>
            <w:tcBorders>
              <w:top w:val="single" w:sz="8" w:space="0" w:color="000000"/>
              <w:left w:val="single" w:sz="8" w:space="0" w:color="000000"/>
              <w:bottom w:val="single" w:sz="8" w:space="0" w:color="000000"/>
              <w:right w:val="single" w:sz="8" w:space="0" w:color="000000"/>
            </w:tcBorders>
            <w:vAlign w:val="center"/>
            <w:hideMark/>
          </w:tcPr>
          <w:p w:rsidR="007D12C9" w:rsidRPr="007D12C9" w:rsidRDefault="007D12C9" w:rsidP="007D12C9">
            <w:pPr>
              <w:spacing w:after="0" w:line="240" w:lineRule="auto"/>
              <w:rPr>
                <w:rFonts w:ascii="Times New Roman" w:eastAsia="Times New Roman" w:hAnsi="Times New Roman" w:cs="Times New Roman"/>
                <w:b/>
                <w:bCs/>
                <w:color w:val="000000"/>
                <w:sz w:val="16"/>
                <w:szCs w:val="16"/>
                <w:lang w:eastAsia="ru-RU"/>
              </w:rPr>
            </w:pPr>
          </w:p>
        </w:tc>
        <w:tc>
          <w:tcPr>
            <w:tcW w:w="352" w:type="pct"/>
            <w:vMerge/>
            <w:tcBorders>
              <w:top w:val="single" w:sz="8" w:space="0" w:color="000000"/>
              <w:left w:val="single" w:sz="8" w:space="0" w:color="000000"/>
              <w:bottom w:val="single" w:sz="8" w:space="0" w:color="000000"/>
              <w:right w:val="single" w:sz="8" w:space="0" w:color="000000"/>
            </w:tcBorders>
            <w:vAlign w:val="center"/>
            <w:hideMark/>
          </w:tcPr>
          <w:p w:rsidR="007D12C9" w:rsidRPr="007D12C9" w:rsidRDefault="007D12C9" w:rsidP="007D12C9">
            <w:pPr>
              <w:spacing w:after="0" w:line="240" w:lineRule="auto"/>
              <w:rPr>
                <w:rFonts w:ascii="Times New Roman" w:eastAsia="Times New Roman" w:hAnsi="Times New Roman" w:cs="Times New Roman"/>
                <w:b/>
                <w:bCs/>
                <w:color w:val="000000"/>
                <w:sz w:val="16"/>
                <w:szCs w:val="16"/>
                <w:lang w:eastAsia="ru-RU"/>
              </w:rPr>
            </w:pPr>
          </w:p>
        </w:tc>
        <w:tc>
          <w:tcPr>
            <w:tcW w:w="750" w:type="pct"/>
            <w:tcBorders>
              <w:top w:val="nil"/>
              <w:left w:val="nil"/>
              <w:bottom w:val="single" w:sz="4" w:space="0" w:color="auto"/>
              <w:right w:val="single" w:sz="8" w:space="0" w:color="000000"/>
            </w:tcBorders>
            <w:vAlign w:val="center"/>
            <w:hideMark/>
          </w:tcPr>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Наименование характеристики</w:t>
            </w:r>
          </w:p>
        </w:tc>
        <w:tc>
          <w:tcPr>
            <w:tcW w:w="396" w:type="pct"/>
            <w:tcBorders>
              <w:top w:val="nil"/>
              <w:left w:val="nil"/>
              <w:bottom w:val="single" w:sz="4" w:space="0" w:color="auto"/>
              <w:right w:val="single" w:sz="8" w:space="0" w:color="000000"/>
            </w:tcBorders>
            <w:vAlign w:val="center"/>
            <w:hideMark/>
          </w:tcPr>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Значение характеристики</w:t>
            </w:r>
          </w:p>
        </w:tc>
        <w:tc>
          <w:tcPr>
            <w:tcW w:w="352" w:type="pct"/>
            <w:tcBorders>
              <w:top w:val="nil"/>
              <w:left w:val="nil"/>
              <w:bottom w:val="single" w:sz="4" w:space="0" w:color="auto"/>
              <w:right w:val="single" w:sz="8" w:space="0" w:color="000000"/>
            </w:tcBorders>
            <w:vAlign w:val="center"/>
            <w:hideMark/>
          </w:tcPr>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Единица измерения характеристики</w:t>
            </w:r>
          </w:p>
        </w:tc>
        <w:tc>
          <w:tcPr>
            <w:tcW w:w="703" w:type="pct"/>
            <w:tcBorders>
              <w:top w:val="nil"/>
              <w:left w:val="nil"/>
              <w:bottom w:val="single" w:sz="4" w:space="0" w:color="auto"/>
              <w:right w:val="single" w:sz="8" w:space="0" w:color="000000"/>
            </w:tcBorders>
            <w:vAlign w:val="center"/>
            <w:hideMark/>
          </w:tcPr>
          <w:p w:rsidR="007D12C9" w:rsidRPr="007D12C9" w:rsidRDefault="007D12C9" w:rsidP="007D12C9">
            <w:pPr>
              <w:spacing w:after="0" w:line="240" w:lineRule="auto"/>
              <w:jc w:val="center"/>
              <w:rPr>
                <w:rFonts w:ascii="Times New Roman" w:eastAsia="Times New Roman" w:hAnsi="Times New Roman" w:cs="Times New Roman"/>
                <w:b/>
                <w:bCs/>
                <w:color w:val="000000"/>
                <w:sz w:val="16"/>
                <w:szCs w:val="16"/>
                <w:lang w:eastAsia="ru-RU"/>
              </w:rPr>
            </w:pPr>
            <w:r w:rsidRPr="007D12C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353" w:type="pct"/>
            <w:vMerge/>
            <w:tcBorders>
              <w:top w:val="single" w:sz="8" w:space="0" w:color="000000"/>
              <w:left w:val="single" w:sz="8" w:space="0" w:color="000000"/>
              <w:bottom w:val="single" w:sz="8" w:space="0" w:color="000000"/>
              <w:right w:val="single" w:sz="8" w:space="0" w:color="000000"/>
            </w:tcBorders>
            <w:vAlign w:val="center"/>
            <w:hideMark/>
          </w:tcPr>
          <w:p w:rsidR="007D12C9" w:rsidRPr="007D12C9" w:rsidRDefault="007D12C9" w:rsidP="007D12C9">
            <w:pPr>
              <w:spacing w:after="0" w:line="240" w:lineRule="auto"/>
              <w:rPr>
                <w:rFonts w:ascii="Times New Roman" w:eastAsia="Times New Roman" w:hAnsi="Times New Roman" w:cs="Times New Roman"/>
                <w:b/>
                <w:bCs/>
                <w:color w:val="000000"/>
                <w:sz w:val="16"/>
                <w:szCs w:val="16"/>
                <w:lang w:eastAsia="ru-RU"/>
              </w:rPr>
            </w:pPr>
          </w:p>
        </w:tc>
        <w:tc>
          <w:tcPr>
            <w:tcW w:w="325" w:type="pct"/>
            <w:vMerge/>
            <w:tcBorders>
              <w:top w:val="single" w:sz="8" w:space="0" w:color="000000"/>
              <w:left w:val="single" w:sz="8" w:space="0" w:color="000000"/>
              <w:bottom w:val="single" w:sz="8" w:space="0" w:color="000000"/>
              <w:right w:val="nil"/>
            </w:tcBorders>
            <w:vAlign w:val="center"/>
            <w:hideMark/>
          </w:tcPr>
          <w:p w:rsidR="007D12C9" w:rsidRPr="007D12C9" w:rsidRDefault="007D12C9" w:rsidP="007D12C9">
            <w:pPr>
              <w:spacing w:after="0" w:line="240" w:lineRule="auto"/>
              <w:rPr>
                <w:rFonts w:ascii="Times New Roman" w:eastAsia="Times New Roman" w:hAnsi="Times New Roman" w:cs="Times New Roman"/>
                <w:b/>
                <w:bCs/>
                <w:color w:val="000000"/>
                <w:sz w:val="16"/>
                <w:szCs w:val="16"/>
                <w:lang w:eastAsia="ru-RU"/>
              </w:rPr>
            </w:pPr>
          </w:p>
        </w:tc>
        <w:tc>
          <w:tcPr>
            <w:tcW w:w="268" w:type="pct"/>
            <w:vMerge/>
            <w:tcBorders>
              <w:top w:val="single" w:sz="4" w:space="0" w:color="auto"/>
              <w:left w:val="single" w:sz="4" w:space="0" w:color="auto"/>
              <w:bottom w:val="single" w:sz="4" w:space="0" w:color="000000"/>
              <w:right w:val="single" w:sz="4" w:space="0" w:color="auto"/>
            </w:tcBorders>
            <w:vAlign w:val="center"/>
            <w:hideMark/>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268" w:type="pct"/>
            <w:vMerge/>
            <w:tcBorders>
              <w:top w:val="single" w:sz="4" w:space="0" w:color="auto"/>
              <w:left w:val="single" w:sz="4" w:space="0" w:color="auto"/>
              <w:bottom w:val="single" w:sz="4" w:space="0" w:color="000000"/>
              <w:right w:val="single" w:sz="4" w:space="0" w:color="auto"/>
            </w:tcBorders>
            <w:vAlign w:val="center"/>
            <w:hideMark/>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13" w:type="pct"/>
            <w:vMerge/>
            <w:tcBorders>
              <w:top w:val="single" w:sz="4" w:space="0" w:color="auto"/>
              <w:left w:val="single" w:sz="4" w:space="0" w:color="auto"/>
              <w:bottom w:val="single" w:sz="4" w:space="0" w:color="000000"/>
              <w:right w:val="single" w:sz="4" w:space="0" w:color="auto"/>
            </w:tcBorders>
            <w:vAlign w:val="center"/>
            <w:hideMark/>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09" w:type="pct"/>
            <w:vMerge/>
            <w:tcBorders>
              <w:top w:val="single" w:sz="4" w:space="0" w:color="auto"/>
              <w:left w:val="single" w:sz="4" w:space="0" w:color="auto"/>
              <w:bottom w:val="single" w:sz="4" w:space="0" w:color="000000"/>
              <w:right w:val="single" w:sz="4" w:space="0" w:color="auto"/>
            </w:tcBorders>
            <w:vAlign w:val="center"/>
            <w:hideMark/>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val="restart"/>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1</w:t>
            </w:r>
          </w:p>
        </w:tc>
        <w:tc>
          <w:tcPr>
            <w:tcW w:w="474" w:type="pct"/>
            <w:vMerge w:val="restart"/>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hAnsi="Times New Roman"/>
                <w:sz w:val="16"/>
                <w:szCs w:val="16"/>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Ревизионная система (соединительное устройство)</w:t>
            </w:r>
          </w:p>
        </w:tc>
        <w:tc>
          <w:tcPr>
            <w:tcW w:w="352" w:type="pct"/>
            <w:vMerge w:val="restart"/>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32.50.22.110</w:t>
            </w: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Переходники служат для компенсации длины удаленной кости и соединения жестким конусным заклиниванием между ножкой c одной стороны и скрепляющими винтами с другими компонентами с другой стороны</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tcBorders>
              <w:left w:val="single" w:sz="8" w:space="0" w:color="auto"/>
              <w:right w:val="single" w:sz="8" w:space="0" w:color="auto"/>
            </w:tcBorders>
            <w:vAlign w:val="center"/>
          </w:tcPr>
          <w:p w:rsidR="007D12C9" w:rsidRPr="007D12C9" w:rsidRDefault="000317EC" w:rsidP="007D12C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w:t>
            </w:r>
          </w:p>
        </w:tc>
        <w:tc>
          <w:tcPr>
            <w:tcW w:w="325" w:type="pct"/>
            <w:vMerge w:val="restart"/>
            <w:tcBorders>
              <w:left w:val="single" w:sz="8" w:space="0" w:color="auto"/>
              <w:right w:val="nil"/>
            </w:tcBorders>
            <w:vAlign w:val="center"/>
          </w:tcPr>
          <w:p w:rsidR="007D12C9" w:rsidRPr="007D12C9" w:rsidRDefault="000317EC" w:rsidP="007D12C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268" w:type="pct"/>
            <w:vMerge w:val="restart"/>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restart"/>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restart"/>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Материал изготовления</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титановый сплав</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Сквозное отверстие под винт диметром 8,0 мм и наличие зубцов, с одной стороны, для предотвращения ротации</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52"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Длина</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 30</w:t>
            </w:r>
            <w:r w:rsidRPr="007D12C9">
              <w:rPr>
                <w:rFonts w:ascii="Times New Roman" w:eastAsia="Times New Roman" w:hAnsi="Times New Roman"/>
                <w:color w:val="000000"/>
                <w:sz w:val="16"/>
                <w:szCs w:val="16"/>
                <w:lang w:eastAsia="ru-RU"/>
              </w:rPr>
              <w:t>,0</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Миллиметр</w:t>
            </w: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val="restart"/>
            <w:tcBorders>
              <w:top w:val="single" w:sz="4" w:space="0" w:color="auto"/>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2</w:t>
            </w:r>
          </w:p>
        </w:tc>
        <w:tc>
          <w:tcPr>
            <w:tcW w:w="474" w:type="pct"/>
            <w:vMerge w:val="restart"/>
            <w:tcBorders>
              <w:top w:val="single" w:sz="4" w:space="0" w:color="auto"/>
              <w:left w:val="single" w:sz="8" w:space="0" w:color="auto"/>
              <w:right w:val="single" w:sz="8" w:space="0" w:color="auto"/>
            </w:tcBorders>
            <w:vAlign w:val="center"/>
          </w:tcPr>
          <w:p w:rsidR="007D12C9" w:rsidRPr="007D12C9" w:rsidRDefault="007D12C9" w:rsidP="007D12C9">
            <w:pPr>
              <w:spacing w:after="0" w:line="240" w:lineRule="auto"/>
              <w:rPr>
                <w:rFonts w:ascii="Times New Roman" w:hAnsi="Times New Roman"/>
                <w:sz w:val="16"/>
                <w:szCs w:val="16"/>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Соединительная часть для модульного проксимального большеберцового компонента</w:t>
            </w:r>
          </w:p>
        </w:tc>
        <w:tc>
          <w:tcPr>
            <w:tcW w:w="352" w:type="pct"/>
            <w:tcBorders>
              <w:top w:val="single" w:sz="4" w:space="0" w:color="auto"/>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Соединительная часть скрепляется с проксимальным большеберцовым компонентом двумя скрепляющими винтами и с ножкой большеберцовой кости одним винтом для создания единой неразрывной конструкции</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tcBorders>
              <w:top w:val="single" w:sz="4" w:space="0" w:color="auto"/>
              <w:left w:val="single" w:sz="8" w:space="0" w:color="auto"/>
              <w:right w:val="single" w:sz="8" w:space="0" w:color="auto"/>
            </w:tcBorders>
            <w:vAlign w:val="center"/>
          </w:tcPr>
          <w:p w:rsidR="007D12C9" w:rsidRPr="007D12C9" w:rsidRDefault="000317EC" w:rsidP="007D12C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w:t>
            </w:r>
          </w:p>
        </w:tc>
        <w:tc>
          <w:tcPr>
            <w:tcW w:w="325" w:type="pct"/>
            <w:vMerge w:val="restart"/>
            <w:tcBorders>
              <w:top w:val="single" w:sz="4" w:space="0" w:color="auto"/>
              <w:left w:val="single" w:sz="8" w:space="0" w:color="auto"/>
              <w:right w:val="nil"/>
            </w:tcBorders>
            <w:vAlign w:val="center"/>
          </w:tcPr>
          <w:p w:rsidR="007D12C9" w:rsidRPr="007D12C9" w:rsidRDefault="000317EC" w:rsidP="007D12C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268"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52" w:type="pct"/>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32.50.22.110</w:t>
            </w: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Материал изготовления</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титановый сплав</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52" w:type="pct"/>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При закреплении модулей возможность возникновения самостоятельной ротации исключена при помощи зубчатого соединения</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52" w:type="pct"/>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Длина 105,0 мм и 125,0 мм</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52" w:type="pct"/>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Диаметр 22,0-28,0 мм</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val="restart"/>
            <w:tcBorders>
              <w:top w:val="single" w:sz="4" w:space="0" w:color="auto"/>
              <w:left w:val="single" w:sz="8" w:space="0" w:color="auto"/>
              <w:right w:val="single" w:sz="8" w:space="0" w:color="auto"/>
            </w:tcBorders>
            <w:vAlign w:val="center"/>
          </w:tcPr>
          <w:p w:rsid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3</w:t>
            </w: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val="restart"/>
            <w:tcBorders>
              <w:top w:val="single" w:sz="4" w:space="0" w:color="auto"/>
              <w:left w:val="single" w:sz="8" w:space="0" w:color="auto"/>
              <w:right w:val="single" w:sz="8" w:space="0" w:color="auto"/>
            </w:tcBorders>
            <w:vAlign w:val="center"/>
          </w:tcPr>
          <w:p w:rsidR="007D12C9" w:rsidRDefault="007D12C9" w:rsidP="007D12C9">
            <w:pPr>
              <w:jc w:val="center"/>
              <w:rPr>
                <w:rFonts w:ascii="Times New Roman" w:hAnsi="Times New Roman"/>
                <w:sz w:val="16"/>
                <w:szCs w:val="16"/>
              </w:rPr>
            </w:pPr>
          </w:p>
          <w:p w:rsidR="007D12C9" w:rsidRDefault="007D12C9" w:rsidP="007D12C9">
            <w:pPr>
              <w:jc w:val="center"/>
              <w:rPr>
                <w:rFonts w:ascii="Times New Roman" w:hAnsi="Times New Roman"/>
                <w:sz w:val="16"/>
                <w:szCs w:val="16"/>
              </w:rPr>
            </w:pPr>
          </w:p>
          <w:p w:rsidR="007D12C9" w:rsidRDefault="007D12C9" w:rsidP="007D12C9">
            <w:pPr>
              <w:jc w:val="center"/>
              <w:rPr>
                <w:rFonts w:ascii="Times New Roman" w:hAnsi="Times New Roman"/>
                <w:sz w:val="16"/>
                <w:szCs w:val="16"/>
              </w:rPr>
            </w:pPr>
          </w:p>
          <w:p w:rsidR="007D12C9" w:rsidRPr="007D12C9" w:rsidRDefault="007D12C9" w:rsidP="007D12C9">
            <w:pPr>
              <w:jc w:val="center"/>
              <w:rPr>
                <w:rFonts w:ascii="Times New Roman" w:hAnsi="Times New Roman"/>
                <w:sz w:val="16"/>
                <w:szCs w:val="16"/>
              </w:rPr>
            </w:pPr>
            <w:r w:rsidRPr="007D12C9">
              <w:rPr>
                <w:rFonts w:ascii="Times New Roman" w:hAnsi="Times New Roman"/>
                <w:sz w:val="16"/>
                <w:szCs w:val="16"/>
              </w:rPr>
              <w:t>Соединительная часть</w:t>
            </w:r>
          </w:p>
          <w:p w:rsidR="007D12C9" w:rsidRPr="007D12C9" w:rsidRDefault="007D12C9" w:rsidP="007D12C9">
            <w:pPr>
              <w:jc w:val="center"/>
              <w:rPr>
                <w:rFonts w:ascii="Times New Roman" w:hAnsi="Times New Roman"/>
                <w:sz w:val="16"/>
                <w:szCs w:val="16"/>
              </w:rPr>
            </w:pPr>
          </w:p>
          <w:p w:rsidR="007D12C9" w:rsidRPr="007D12C9" w:rsidRDefault="007D12C9" w:rsidP="007D12C9">
            <w:pPr>
              <w:jc w:val="center"/>
              <w:rPr>
                <w:sz w:val="16"/>
                <w:szCs w:val="16"/>
              </w:rPr>
            </w:pPr>
          </w:p>
        </w:tc>
        <w:tc>
          <w:tcPr>
            <w:tcW w:w="352" w:type="pct"/>
            <w:vMerge w:val="restart"/>
            <w:tcBorders>
              <w:top w:val="single" w:sz="4" w:space="0" w:color="auto"/>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32.50.22.110</w:t>
            </w: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Соединительная часть для компенсации длины замещаемой кости (замещения резекции кости) обеспечивает возможность увеличения длины компонента до требуемого уровня</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tcBorders>
              <w:top w:val="single" w:sz="4" w:space="0" w:color="auto"/>
              <w:left w:val="single" w:sz="8" w:space="0" w:color="auto"/>
              <w:right w:val="single" w:sz="8" w:space="0" w:color="auto"/>
            </w:tcBorders>
            <w:vAlign w:val="center"/>
          </w:tcPr>
          <w:p w:rsidR="007D12C9" w:rsidRPr="007D12C9" w:rsidRDefault="000317EC" w:rsidP="007D12C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c>
          <w:tcPr>
            <w:tcW w:w="325" w:type="pct"/>
            <w:vMerge w:val="restart"/>
            <w:tcBorders>
              <w:top w:val="single" w:sz="4" w:space="0" w:color="auto"/>
              <w:left w:val="single" w:sz="8" w:space="0" w:color="auto"/>
              <w:right w:val="nil"/>
            </w:tcBorders>
            <w:vAlign w:val="center"/>
          </w:tcPr>
          <w:p w:rsidR="007D12C9" w:rsidRPr="007D12C9" w:rsidRDefault="000317EC" w:rsidP="007D12C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p>
        </w:tc>
        <w:tc>
          <w:tcPr>
            <w:tcW w:w="268"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Материал изготовления</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титановый сплав</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Соединительная часть состоит  из двух частей, скрепляющихся паз в паз по типу «русского замка» и дополнительно фиксируется двумя винтами между собой в поперечном направлении</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7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Соединительная часть прикрепляется к проксимальным и дистальным частям в случае, если не требуется тотальное замещение кости - к ножке для интрамедуллярного канала при помощи винтов диаметром 10,0 мм</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olor w:val="000000"/>
                <w:sz w:val="16"/>
                <w:szCs w:val="16"/>
                <w:lang w:eastAsia="ru-RU"/>
              </w:rPr>
              <w:t>При закреплении модулей возможность возникновения самостоятельной ротации исключена при помощи зубчатого соединения.</w:t>
            </w:r>
          </w:p>
        </w:tc>
        <w:tc>
          <w:tcPr>
            <w:tcW w:w="396"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right w:val="single" w:sz="8"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8"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tcPr>
          <w:p w:rsidR="007D12C9" w:rsidRPr="007D12C9" w:rsidRDefault="007D12C9" w:rsidP="007D12C9">
            <w:pPr>
              <w:widowControl w:val="0"/>
              <w:snapToGrid w:val="0"/>
              <w:spacing w:after="0" w:line="240" w:lineRule="auto"/>
              <w:jc w:val="center"/>
              <w:rPr>
                <w:rFonts w:ascii="Times New Roman" w:eastAsia="Times New Roman" w:hAnsi="Times New Roman"/>
                <w:sz w:val="16"/>
                <w:szCs w:val="16"/>
                <w:lang w:eastAsia="ru-RU"/>
              </w:rPr>
            </w:pPr>
            <w:r w:rsidRPr="007D12C9">
              <w:rPr>
                <w:rFonts w:ascii="Times New Roman" w:eastAsia="Times New Roman" w:hAnsi="Times New Roman"/>
                <w:color w:val="000000"/>
                <w:sz w:val="16"/>
                <w:szCs w:val="16"/>
                <w:lang w:eastAsia="ru-RU"/>
              </w:rPr>
              <w:t>Длина</w:t>
            </w:r>
          </w:p>
        </w:tc>
        <w:tc>
          <w:tcPr>
            <w:tcW w:w="396" w:type="pct"/>
            <w:tcBorders>
              <w:top w:val="single" w:sz="4" w:space="0" w:color="auto"/>
              <w:left w:val="nil"/>
              <w:bottom w:val="single" w:sz="4" w:space="0" w:color="auto"/>
              <w:right w:val="single" w:sz="8" w:space="0" w:color="auto"/>
            </w:tcBorders>
          </w:tcPr>
          <w:p w:rsidR="007D12C9" w:rsidRPr="007D12C9" w:rsidRDefault="007D12C9" w:rsidP="007D12C9">
            <w:pPr>
              <w:widowControl w:val="0"/>
              <w:suppressAutoHyphens/>
              <w:snapToGrid w:val="0"/>
              <w:spacing w:after="0" w:line="240" w:lineRule="auto"/>
              <w:jc w:val="center"/>
              <w:rPr>
                <w:rFonts w:ascii="Tinos" w:hAnsi="Tinos" w:cs="Times New Roman"/>
                <w:sz w:val="16"/>
                <w:szCs w:val="16"/>
              </w:rPr>
            </w:pPr>
            <w:r w:rsidRPr="007D12C9">
              <w:rPr>
                <w:rFonts w:ascii="Times New Roman" w:eastAsia="Times New Roman" w:hAnsi="Times New Roman" w:cs="Times New Roman"/>
                <w:color w:val="000000"/>
                <w:sz w:val="16"/>
                <w:szCs w:val="16"/>
                <w:lang w:eastAsia="ru-RU"/>
              </w:rPr>
              <w:t>≤ 100,0</w:t>
            </w:r>
          </w:p>
        </w:tc>
        <w:tc>
          <w:tcPr>
            <w:tcW w:w="352" w:type="pct"/>
            <w:tcBorders>
              <w:top w:val="single" w:sz="4" w:space="0" w:color="auto"/>
              <w:left w:val="nil"/>
              <w:bottom w:val="single" w:sz="4" w:space="0" w:color="auto"/>
              <w:right w:val="single" w:sz="8" w:space="0" w:color="auto"/>
            </w:tcBorders>
          </w:tcPr>
          <w:p w:rsidR="007D12C9" w:rsidRPr="007D12C9" w:rsidRDefault="007D12C9" w:rsidP="007D12C9">
            <w:pPr>
              <w:spacing w:after="0" w:line="240" w:lineRule="auto"/>
              <w:jc w:val="center"/>
              <w:rPr>
                <w:rFonts w:ascii="Tinos" w:eastAsia="Times New Roman" w:hAnsi="Tinos" w:cs="Times New Roman"/>
                <w:sz w:val="16"/>
                <w:szCs w:val="16"/>
                <w:lang w:eastAsia="ru-RU"/>
              </w:rPr>
            </w:pPr>
            <w:r w:rsidRPr="007D12C9">
              <w:rPr>
                <w:rFonts w:ascii="Tinos" w:eastAsia="Times New Roman" w:hAnsi="Tinos" w:cs="Times New Roman"/>
                <w:sz w:val="16"/>
                <w:szCs w:val="16"/>
                <w:lang w:eastAsia="ru-RU"/>
              </w:rPr>
              <w:t>Миллиметр</w:t>
            </w: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8"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8" w:space="0" w:color="auto"/>
              <w:right w:val="nil"/>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8" w:space="0" w:color="auto"/>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8" w:space="0" w:color="auto"/>
              <w:bottom w:val="single" w:sz="4" w:space="0" w:color="auto"/>
              <w:right w:val="single" w:sz="8"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8" w:space="0" w:color="auto"/>
              <w:bottom w:val="single" w:sz="4" w:space="0" w:color="auto"/>
              <w:right w:val="single" w:sz="8"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nil"/>
              <w:bottom w:val="single" w:sz="4" w:space="0" w:color="auto"/>
              <w:right w:val="single" w:sz="8" w:space="0" w:color="auto"/>
            </w:tcBorders>
          </w:tcPr>
          <w:p w:rsidR="007D12C9" w:rsidRPr="007D12C9" w:rsidRDefault="007D12C9" w:rsidP="007D12C9">
            <w:pPr>
              <w:widowControl w:val="0"/>
              <w:snapToGrid w:val="0"/>
              <w:spacing w:after="0" w:line="240" w:lineRule="auto"/>
              <w:jc w:val="center"/>
              <w:rPr>
                <w:rFonts w:ascii="Times New Roman" w:eastAsia="Times New Roman" w:hAnsi="Times New Roman"/>
                <w:sz w:val="16"/>
                <w:szCs w:val="16"/>
                <w:lang w:eastAsia="ru-RU"/>
              </w:rPr>
            </w:pPr>
            <w:r w:rsidRPr="007D12C9">
              <w:rPr>
                <w:rFonts w:ascii="Times New Roman" w:eastAsia="Times New Roman" w:hAnsi="Times New Roman"/>
                <w:color w:val="000000"/>
                <w:sz w:val="16"/>
                <w:szCs w:val="16"/>
                <w:lang w:eastAsia="ru-RU"/>
              </w:rPr>
              <w:t>Диаметр</w:t>
            </w:r>
          </w:p>
        </w:tc>
        <w:tc>
          <w:tcPr>
            <w:tcW w:w="396" w:type="pct"/>
            <w:tcBorders>
              <w:top w:val="single" w:sz="4" w:space="0" w:color="auto"/>
              <w:left w:val="nil"/>
              <w:bottom w:val="single" w:sz="4" w:space="0" w:color="auto"/>
              <w:right w:val="single" w:sz="8" w:space="0" w:color="auto"/>
            </w:tcBorders>
          </w:tcPr>
          <w:p w:rsidR="007D12C9" w:rsidRPr="007D12C9" w:rsidRDefault="007D12C9" w:rsidP="007D12C9">
            <w:pPr>
              <w:widowControl w:val="0"/>
              <w:suppressAutoHyphens/>
              <w:snapToGrid w:val="0"/>
              <w:spacing w:after="0" w:line="240" w:lineRule="auto"/>
              <w:jc w:val="center"/>
              <w:rPr>
                <w:rFonts w:ascii="Tinos" w:hAnsi="Tinos" w:cs="Times New Roman"/>
                <w:sz w:val="16"/>
                <w:szCs w:val="16"/>
              </w:rPr>
            </w:pPr>
            <w:r w:rsidRPr="007D12C9">
              <w:rPr>
                <w:rFonts w:ascii="Times New Roman" w:eastAsia="Times New Roman" w:hAnsi="Times New Roman" w:cs="Times New Roman"/>
                <w:color w:val="000000"/>
                <w:sz w:val="16"/>
                <w:szCs w:val="16"/>
                <w:lang w:eastAsia="ru-RU"/>
              </w:rPr>
              <w:t>≤ 28,0</w:t>
            </w:r>
          </w:p>
        </w:tc>
        <w:tc>
          <w:tcPr>
            <w:tcW w:w="352" w:type="pct"/>
            <w:tcBorders>
              <w:top w:val="single" w:sz="4" w:space="0" w:color="auto"/>
              <w:left w:val="nil"/>
              <w:bottom w:val="single" w:sz="4" w:space="0" w:color="auto"/>
              <w:right w:val="single" w:sz="8" w:space="0" w:color="auto"/>
            </w:tcBorders>
          </w:tcPr>
          <w:p w:rsidR="007D12C9" w:rsidRPr="007D12C9" w:rsidRDefault="007D12C9" w:rsidP="007D12C9">
            <w:pPr>
              <w:spacing w:after="0" w:line="240" w:lineRule="auto"/>
              <w:jc w:val="center"/>
              <w:rPr>
                <w:rFonts w:ascii="Tinos" w:eastAsia="Times New Roman" w:hAnsi="Tinos" w:cs="Times New Roman"/>
                <w:sz w:val="16"/>
                <w:szCs w:val="16"/>
                <w:lang w:eastAsia="ru-RU"/>
              </w:rPr>
            </w:pPr>
            <w:r w:rsidRPr="007D12C9">
              <w:rPr>
                <w:rFonts w:ascii="Tinos" w:eastAsia="Times New Roman" w:hAnsi="Tinos" w:cs="Times New Roman"/>
                <w:sz w:val="16"/>
                <w:szCs w:val="16"/>
                <w:lang w:eastAsia="ru-RU"/>
              </w:rPr>
              <w:t>Миллиметр</w:t>
            </w:r>
          </w:p>
        </w:tc>
        <w:tc>
          <w:tcPr>
            <w:tcW w:w="703" w:type="pct"/>
            <w:tcBorders>
              <w:top w:val="single" w:sz="4" w:space="0" w:color="auto"/>
              <w:left w:val="nil"/>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8" w:space="0" w:color="auto"/>
              <w:bottom w:val="single" w:sz="4" w:space="0" w:color="auto"/>
              <w:right w:val="single" w:sz="8"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8" w:space="0" w:color="auto"/>
              <w:bottom w:val="single" w:sz="4" w:space="0" w:color="auto"/>
              <w:right w:val="nil"/>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09" w:type="pct"/>
            <w:vMerge/>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4</w:t>
            </w:r>
          </w:p>
        </w:tc>
        <w:tc>
          <w:tcPr>
            <w:tcW w:w="474"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rPr>
                <w:rFonts w:ascii="Times New Roman" w:hAnsi="Times New Roman"/>
                <w:sz w:val="16"/>
                <w:szCs w:val="16"/>
              </w:rPr>
            </w:pPr>
          </w:p>
          <w:p w:rsidR="007D12C9" w:rsidRPr="007D12C9" w:rsidRDefault="007D12C9" w:rsidP="007D12C9">
            <w:pPr>
              <w:jc w:val="center"/>
              <w:rPr>
                <w:rFonts w:ascii="Times New Roman" w:hAnsi="Times New Roman"/>
                <w:sz w:val="16"/>
                <w:szCs w:val="16"/>
              </w:rPr>
            </w:pPr>
            <w:r w:rsidRPr="007D12C9">
              <w:rPr>
                <w:rFonts w:ascii="Times New Roman" w:eastAsia="Times New Roman" w:hAnsi="Times New Roman" w:cs="Times New Roman"/>
                <w:color w:val="000000"/>
                <w:sz w:val="16"/>
                <w:szCs w:val="16"/>
                <w:lang w:eastAsia="ru-RU"/>
              </w:rPr>
              <w:t>Удлиняющая часть</w:t>
            </w:r>
          </w:p>
        </w:tc>
        <w:tc>
          <w:tcPr>
            <w:tcW w:w="352"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32.50.22.110</w:t>
            </w:r>
          </w:p>
        </w:tc>
        <w:tc>
          <w:tcPr>
            <w:tcW w:w="750"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napToGrid w:val="0"/>
              <w:spacing w:after="0" w:line="240" w:lineRule="auto"/>
              <w:jc w:val="center"/>
              <w:rPr>
                <w:rFonts w:ascii="Times New Roman" w:eastAsia="Times New Roman" w:hAnsi="Times New Roman"/>
                <w:color w:val="000000"/>
                <w:sz w:val="16"/>
                <w:szCs w:val="16"/>
                <w:lang w:eastAsia="ru-RU"/>
              </w:rPr>
            </w:pPr>
            <w:r w:rsidRPr="007D12C9">
              <w:rPr>
                <w:rFonts w:ascii="Times New Roman" w:eastAsia="Times New Roman" w:hAnsi="Times New Roman"/>
                <w:color w:val="000000"/>
                <w:sz w:val="16"/>
                <w:szCs w:val="16"/>
                <w:lang w:eastAsia="ru-RU"/>
              </w:rPr>
              <w:t>Удлиняющая часть для компенсации длины замещаемой кости (замещения резекции кости) обеспечивает возможность увеличения длины компонента до требуемого уровня</w:t>
            </w:r>
          </w:p>
        </w:tc>
        <w:tc>
          <w:tcPr>
            <w:tcW w:w="396"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nos" w:eastAsia="Times New Roman" w:hAnsi="Tinos" w:cs="Times New Roman"/>
                <w:sz w:val="16"/>
                <w:szCs w:val="16"/>
                <w:lang w:eastAsia="ru-RU"/>
              </w:rPr>
            </w:pPr>
          </w:p>
        </w:tc>
        <w:tc>
          <w:tcPr>
            <w:tcW w:w="703"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val="restart"/>
            <w:tcBorders>
              <w:top w:val="single" w:sz="4" w:space="0" w:color="auto"/>
              <w:left w:val="single" w:sz="4" w:space="0" w:color="auto"/>
              <w:right w:val="single" w:sz="4" w:space="0" w:color="auto"/>
            </w:tcBorders>
            <w:vAlign w:val="center"/>
          </w:tcPr>
          <w:p w:rsidR="007D12C9" w:rsidRPr="007D12C9" w:rsidRDefault="000317EC" w:rsidP="007D12C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w:t>
            </w:r>
          </w:p>
        </w:tc>
        <w:tc>
          <w:tcPr>
            <w:tcW w:w="325" w:type="pct"/>
            <w:vMerge w:val="restart"/>
            <w:tcBorders>
              <w:top w:val="single" w:sz="4" w:space="0" w:color="auto"/>
              <w:left w:val="single" w:sz="4" w:space="0" w:color="auto"/>
              <w:right w:val="single" w:sz="4" w:space="0" w:color="auto"/>
            </w:tcBorders>
            <w:vAlign w:val="center"/>
          </w:tcPr>
          <w:p w:rsidR="007D12C9" w:rsidRPr="007D12C9" w:rsidRDefault="000317EC" w:rsidP="007D12C9">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штука</w:t>
            </w:r>
            <w:bookmarkStart w:id="20" w:name="_GoBack"/>
            <w:bookmarkEnd w:id="20"/>
          </w:p>
        </w:tc>
        <w:tc>
          <w:tcPr>
            <w:tcW w:w="268"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09" w:type="pct"/>
            <w:vMerge w:val="restart"/>
            <w:tcBorders>
              <w:top w:val="single" w:sz="4" w:space="0" w:color="auto"/>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4" w:space="0" w:color="auto"/>
              <w:right w:val="single" w:sz="4"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napToGrid w:val="0"/>
              <w:spacing w:after="0" w:line="240" w:lineRule="auto"/>
              <w:jc w:val="center"/>
              <w:rPr>
                <w:rFonts w:ascii="Times New Roman" w:eastAsia="Times New Roman" w:hAnsi="Times New Roman"/>
                <w:color w:val="000000"/>
                <w:sz w:val="16"/>
                <w:szCs w:val="16"/>
                <w:lang w:eastAsia="ru-RU"/>
              </w:rPr>
            </w:pPr>
            <w:r w:rsidRPr="007D12C9">
              <w:rPr>
                <w:rFonts w:ascii="Times New Roman" w:eastAsia="Times New Roman" w:hAnsi="Times New Roman" w:cs="Times New Roman"/>
                <w:color w:val="000000"/>
                <w:sz w:val="16"/>
                <w:szCs w:val="16"/>
                <w:lang w:eastAsia="ru-RU"/>
              </w:rPr>
              <w:t>Материал изготовления</w:t>
            </w:r>
          </w:p>
        </w:tc>
        <w:tc>
          <w:tcPr>
            <w:tcW w:w="396"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титановый сплав</w:t>
            </w:r>
          </w:p>
        </w:tc>
        <w:tc>
          <w:tcPr>
            <w:tcW w:w="352"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nos" w:eastAsia="Times New Roman" w:hAnsi="Tinos" w:cs="Times New Roman"/>
                <w:sz w:val="16"/>
                <w:szCs w:val="16"/>
                <w:lang w:eastAsia="ru-RU"/>
              </w:rPr>
            </w:pPr>
          </w:p>
        </w:tc>
        <w:tc>
          <w:tcPr>
            <w:tcW w:w="703"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4" w:space="0" w:color="auto"/>
              <w:right w:val="single" w:sz="4"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napToGrid w:val="0"/>
              <w:spacing w:after="0" w:line="240" w:lineRule="auto"/>
              <w:jc w:val="center"/>
              <w:rPr>
                <w:rFonts w:ascii="Times New Roman" w:eastAsia="Times New Roman" w:hAnsi="Times New Roman"/>
                <w:color w:val="000000"/>
                <w:sz w:val="16"/>
                <w:szCs w:val="16"/>
                <w:lang w:eastAsia="ru-RU"/>
              </w:rPr>
            </w:pPr>
            <w:r w:rsidRPr="007D12C9">
              <w:rPr>
                <w:rFonts w:ascii="Times New Roman" w:eastAsia="Times New Roman" w:hAnsi="Times New Roman"/>
                <w:color w:val="000000"/>
                <w:sz w:val="16"/>
                <w:szCs w:val="16"/>
                <w:lang w:eastAsia="ru-RU"/>
              </w:rPr>
              <w:t>Удлиняющая часть прикрепляется к проксимальным и дистальным частям в случае, если не требуется тотальное замещение кости - к ножке для интрамедуллярного канала при помощи винтов диаметром 10,0 мм.</w:t>
            </w:r>
          </w:p>
        </w:tc>
        <w:tc>
          <w:tcPr>
            <w:tcW w:w="396"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nos" w:eastAsia="Times New Roman" w:hAnsi="Tinos" w:cs="Times New Roman"/>
                <w:sz w:val="16"/>
                <w:szCs w:val="16"/>
                <w:lang w:eastAsia="ru-RU"/>
              </w:rPr>
            </w:pPr>
          </w:p>
        </w:tc>
        <w:tc>
          <w:tcPr>
            <w:tcW w:w="703"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4" w:space="0" w:color="auto"/>
              <w:right w:val="single" w:sz="4"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napToGrid w:val="0"/>
              <w:spacing w:after="0" w:line="240" w:lineRule="auto"/>
              <w:jc w:val="center"/>
              <w:rPr>
                <w:rFonts w:ascii="Times New Roman" w:eastAsia="Times New Roman" w:hAnsi="Times New Roman"/>
                <w:color w:val="000000"/>
                <w:sz w:val="16"/>
                <w:szCs w:val="16"/>
                <w:lang w:eastAsia="ru-RU"/>
              </w:rPr>
            </w:pPr>
            <w:r w:rsidRPr="007D12C9">
              <w:rPr>
                <w:rFonts w:ascii="Times New Roman" w:eastAsia="Times New Roman" w:hAnsi="Times New Roman"/>
                <w:color w:val="000000"/>
                <w:sz w:val="16"/>
                <w:szCs w:val="16"/>
                <w:lang w:eastAsia="ru-RU"/>
              </w:rPr>
              <w:t>При закреплении модулей возможность возникновения самостоятельной ротации исключена при помощи зубчатого соединения</w:t>
            </w:r>
          </w:p>
        </w:tc>
        <w:tc>
          <w:tcPr>
            <w:tcW w:w="396"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nos" w:eastAsia="Times New Roman" w:hAnsi="Tinos" w:cs="Times New Roman"/>
                <w:sz w:val="16"/>
                <w:szCs w:val="16"/>
                <w:lang w:eastAsia="ru-RU"/>
              </w:rPr>
            </w:pPr>
          </w:p>
        </w:tc>
        <w:tc>
          <w:tcPr>
            <w:tcW w:w="703"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4" w:space="0" w:color="auto"/>
              <w:right w:val="single" w:sz="4"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napToGrid w:val="0"/>
              <w:spacing w:after="0" w:line="240" w:lineRule="auto"/>
              <w:jc w:val="center"/>
              <w:rPr>
                <w:rFonts w:ascii="Times New Roman" w:eastAsia="Times New Roman" w:hAnsi="Times New Roman"/>
                <w:color w:val="000000"/>
                <w:sz w:val="16"/>
                <w:szCs w:val="16"/>
                <w:lang w:eastAsia="ru-RU"/>
              </w:rPr>
            </w:pPr>
            <w:r w:rsidRPr="007D12C9">
              <w:rPr>
                <w:rFonts w:ascii="Times New Roman" w:eastAsia="Times New Roman" w:hAnsi="Times New Roman"/>
                <w:color w:val="000000"/>
                <w:sz w:val="16"/>
                <w:szCs w:val="16"/>
                <w:lang w:eastAsia="ru-RU"/>
              </w:rPr>
              <w:t>Длина 40,0 мм, 60,0 мм и 80,0 мм</w:t>
            </w:r>
          </w:p>
        </w:tc>
        <w:tc>
          <w:tcPr>
            <w:tcW w:w="396"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соответствие</w:t>
            </w:r>
          </w:p>
        </w:tc>
        <w:tc>
          <w:tcPr>
            <w:tcW w:w="352"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nos" w:eastAsia="Times New Roman" w:hAnsi="Tinos" w:cs="Times New Roman"/>
                <w:sz w:val="16"/>
                <w:szCs w:val="16"/>
                <w:lang w:eastAsia="ru-RU"/>
              </w:rPr>
            </w:pPr>
          </w:p>
        </w:tc>
        <w:tc>
          <w:tcPr>
            <w:tcW w:w="703"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353"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09" w:type="pct"/>
            <w:vMerge/>
            <w:tcBorders>
              <w:left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r>
      <w:tr w:rsidR="007D12C9" w:rsidRPr="007D12C9" w:rsidTr="00CD1D6B">
        <w:trPr>
          <w:trHeight w:val="402"/>
        </w:trPr>
        <w:tc>
          <w:tcPr>
            <w:tcW w:w="136" w:type="pct"/>
            <w:vMerge/>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474" w:type="pct"/>
            <w:vMerge/>
            <w:tcBorders>
              <w:left w:val="single" w:sz="4" w:space="0" w:color="auto"/>
              <w:bottom w:val="single" w:sz="4" w:space="0" w:color="auto"/>
              <w:right w:val="single" w:sz="4" w:space="0" w:color="auto"/>
            </w:tcBorders>
            <w:vAlign w:val="center"/>
          </w:tcPr>
          <w:p w:rsidR="007D12C9" w:rsidRPr="007D12C9" w:rsidRDefault="007D12C9" w:rsidP="007D12C9">
            <w:pPr>
              <w:jc w:val="center"/>
              <w:rPr>
                <w:rFonts w:ascii="Times New Roman" w:hAnsi="Times New Roman"/>
                <w:sz w:val="16"/>
                <w:szCs w:val="16"/>
              </w:rPr>
            </w:pPr>
          </w:p>
        </w:tc>
        <w:tc>
          <w:tcPr>
            <w:tcW w:w="352" w:type="pct"/>
            <w:vMerge/>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750"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napToGrid w:val="0"/>
              <w:spacing w:after="0" w:line="240" w:lineRule="auto"/>
              <w:jc w:val="center"/>
              <w:rPr>
                <w:rFonts w:ascii="Times New Roman" w:eastAsia="Times New Roman" w:hAnsi="Times New Roman"/>
                <w:color w:val="000000"/>
                <w:sz w:val="16"/>
                <w:szCs w:val="16"/>
                <w:lang w:eastAsia="ru-RU"/>
              </w:rPr>
            </w:pPr>
            <w:r w:rsidRPr="007D12C9">
              <w:rPr>
                <w:rFonts w:ascii="Times New Roman" w:eastAsia="Times New Roman" w:hAnsi="Times New Roman"/>
                <w:color w:val="000000"/>
                <w:sz w:val="16"/>
                <w:szCs w:val="16"/>
                <w:lang w:eastAsia="ru-RU"/>
              </w:rPr>
              <w:t>Диаметр</w:t>
            </w:r>
          </w:p>
        </w:tc>
        <w:tc>
          <w:tcPr>
            <w:tcW w:w="396"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widowControl w:val="0"/>
              <w:suppressAutoHyphens/>
              <w:snapToGrid w:val="0"/>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 28,0</w:t>
            </w:r>
          </w:p>
        </w:tc>
        <w:tc>
          <w:tcPr>
            <w:tcW w:w="352"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nos" w:eastAsia="Times New Roman" w:hAnsi="Tinos" w:cs="Times New Roman"/>
                <w:sz w:val="16"/>
                <w:szCs w:val="16"/>
                <w:lang w:eastAsia="ru-RU"/>
              </w:rPr>
            </w:pPr>
            <w:r w:rsidRPr="007D12C9">
              <w:rPr>
                <w:rFonts w:ascii="Times New Roman" w:eastAsia="Times New Roman" w:hAnsi="Times New Roman" w:cs="Times New Roman"/>
                <w:color w:val="000000"/>
                <w:sz w:val="16"/>
                <w:szCs w:val="16"/>
                <w:lang w:eastAsia="ru-RU"/>
              </w:rPr>
              <w:t>Миллиметр</w:t>
            </w:r>
          </w:p>
        </w:tc>
        <w:tc>
          <w:tcPr>
            <w:tcW w:w="703" w:type="pct"/>
            <w:tcBorders>
              <w:top w:val="single" w:sz="4" w:space="0" w:color="auto"/>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r w:rsidRPr="007D12C9">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353" w:type="pct"/>
            <w:vMerge/>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25" w:type="pct"/>
            <w:vMerge/>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268" w:type="pct"/>
            <w:vMerge/>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jc w:val="center"/>
              <w:rPr>
                <w:rFonts w:ascii="Times New Roman" w:eastAsia="Times New Roman" w:hAnsi="Times New Roman" w:cs="Times New Roman"/>
                <w:color w:val="000000"/>
                <w:sz w:val="16"/>
                <w:szCs w:val="16"/>
                <w:lang w:eastAsia="ru-RU"/>
              </w:rPr>
            </w:pPr>
          </w:p>
        </w:tc>
        <w:tc>
          <w:tcPr>
            <w:tcW w:w="313" w:type="pct"/>
            <w:vMerge/>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c>
          <w:tcPr>
            <w:tcW w:w="309" w:type="pct"/>
            <w:vMerge/>
            <w:tcBorders>
              <w:left w:val="single" w:sz="4" w:space="0" w:color="auto"/>
              <w:bottom w:val="single" w:sz="4" w:space="0" w:color="auto"/>
              <w:right w:val="single" w:sz="4" w:space="0" w:color="auto"/>
            </w:tcBorders>
            <w:vAlign w:val="center"/>
          </w:tcPr>
          <w:p w:rsidR="007D12C9" w:rsidRPr="007D12C9" w:rsidRDefault="007D12C9" w:rsidP="007D12C9">
            <w:pPr>
              <w:spacing w:after="0" w:line="240" w:lineRule="auto"/>
              <w:rPr>
                <w:rFonts w:ascii="Times New Roman" w:eastAsia="Times New Roman" w:hAnsi="Times New Roman" w:cs="Times New Roman"/>
                <w:color w:val="000000"/>
                <w:sz w:val="16"/>
                <w:szCs w:val="16"/>
                <w:lang w:eastAsia="ru-RU"/>
              </w:rPr>
            </w:pPr>
          </w:p>
        </w:tc>
      </w:tr>
    </w:tbl>
    <w:p w:rsidR="007D12C9" w:rsidRPr="000437D6" w:rsidRDefault="007D12C9"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7D12C9">
      <w:headerReference w:type="first" r:id="rId14"/>
      <w:footerReference w:type="first" r:id="rId15"/>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6D8" w:rsidRDefault="008C26D8">
      <w:pPr>
        <w:spacing w:after="0" w:line="240" w:lineRule="auto"/>
      </w:pPr>
      <w:r>
        <w:separator/>
      </w:r>
    </w:p>
  </w:endnote>
  <w:endnote w:type="continuationSeparator" w:id="0">
    <w:p w:rsidR="008C26D8" w:rsidRDefault="008C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nos">
    <w:altName w:val="Times New Roman"/>
    <w:charset w:val="01"/>
    <w:family w:val="auto"/>
    <w:pitch w:val="variable"/>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317EC">
          <w:rPr>
            <w:noProof/>
          </w:rPr>
          <w:t>3</w:t>
        </w:r>
        <w:r>
          <w:fldChar w:fldCharType="end"/>
        </w:r>
      </w:p>
    </w:sdtContent>
  </w:sdt>
  <w:p w:rsidR="00F52E6A" w:rsidRDefault="00F52E6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C26D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C26D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317EC">
          <w:rPr>
            <w:noProof/>
          </w:rPr>
          <w:t>2</w:t>
        </w:r>
        <w:r w:rsidR="004725AB">
          <w:fldChar w:fldCharType="end"/>
        </w:r>
      </w:sdtContent>
    </w:sdt>
  </w:p>
  <w:p w:rsidR="004725AB" w:rsidRDefault="004725AB"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C26D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317E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6D8" w:rsidRDefault="008C26D8">
      <w:pPr>
        <w:spacing w:after="0" w:line="240" w:lineRule="auto"/>
      </w:pPr>
      <w:r>
        <w:separator/>
      </w:r>
    </w:p>
  </w:footnote>
  <w:footnote w:type="continuationSeparator" w:id="0">
    <w:p w:rsidR="008C26D8" w:rsidRDefault="008C26D8">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7EC"/>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12C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26D8"/>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2CD4"/>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88893"/>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85628-6D5E-4C81-A55A-D193A7B1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1519</Words>
  <Characters>8660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Пузанова Елена Анатольевна</cp:lastModifiedBy>
  <cp:revision>8</cp:revision>
  <cp:lastPrinted>2018-01-19T15:25:00Z</cp:lastPrinted>
  <dcterms:created xsi:type="dcterms:W3CDTF">2024-03-12T12:23:00Z</dcterms:created>
  <dcterms:modified xsi:type="dcterms:W3CDTF">2025-04-16T09:02:00Z</dcterms:modified>
</cp:coreProperties>
</file>