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13.01.2026 № 21.1-03/1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20.01.2026</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C33477">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3D1995" w:rsidRDefault="003D1995" w:rsidP="00BC6CEE">
            <w:pPr>
              <w:ind w:right="-1"/>
              <w:rPr>
                <w:rFonts w:ascii="Times New Roman" w:hAnsi="Times New Roman" w:cs="Times New Roman"/>
                <w:b/>
                <w:sz w:val="24"/>
                <w:szCs w:val="24"/>
              </w:rPr>
            </w:pPr>
            <w:r w:rsidRPr="003D1995">
              <w:rPr>
                <w:rFonts w:ascii="Times New Roman" w:hAnsi="Times New Roman" w:cs="Times New Roman"/>
                <w:b/>
                <w:sz w:val="24"/>
                <w:szCs w:val="24"/>
              </w:rPr>
              <w:fldChar w:fldCharType="begin">
                <w:ffData>
                  <w:name w:val="Заголовок"/>
                  <w:enabled/>
                  <w:calcOnExit w:val="0"/>
                  <w:textInput>
                    <w:default w:val="Наименование"/>
                  </w:textInput>
                </w:ffData>
              </w:fldChar>
            </w:r>
            <w:bookmarkStart w:id="4" w:name="Заголовок"/>
            <w:r w:rsidRPr="003D1995">
              <w:rPr>
                <w:rFonts w:ascii="Times New Roman" w:hAnsi="Times New Roman" w:cs="Times New Roman"/>
                <w:b/>
                <w:sz w:val="24"/>
                <w:szCs w:val="24"/>
              </w:rPr>
              <w:instrText xml:space="preserve"> FORMTEXT </w:instrText>
            </w:r>
            <w:r w:rsidRPr="003D1995">
              <w:rPr>
                <w:rFonts w:ascii="Times New Roman" w:hAnsi="Times New Roman" w:cs="Times New Roman"/>
                <w:b/>
                <w:sz w:val="24"/>
                <w:szCs w:val="24"/>
              </w:rPr>
            </w:r>
            <w:r w:rsidRPr="003D1995">
              <w:rPr>
                <w:rFonts w:ascii="Times New Roman" w:hAnsi="Times New Roman" w:cs="Times New Roman"/>
                <w:b/>
                <w:sz w:val="24"/>
                <w:szCs w:val="24"/>
              </w:rPr>
              <w:fldChar w:fldCharType="separate"/>
            </w:r>
            <w:r w:rsidRPr="003D1995">
              <w:rPr>
                <w:rFonts w:ascii="Times New Roman" w:hAnsi="Times New Roman" w:cs="Times New Roman"/>
                <w:b/>
                <w:sz w:val="24"/>
                <w:szCs w:val="24"/>
              </w:rPr>
              <w:t>Поставка наборов емкостей для реагентов</w:t>
            </w:r>
            <w:r w:rsidRPr="003D1995">
              <w:rPr>
                <w:rFonts w:ascii="Times New Roman" w:hAnsi="Times New Roman" w:cs="Times New Roman"/>
                <w:b/>
                <w:sz w:val="24"/>
                <w:szCs w:val="24"/>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Default="00C14573" w:rsidP="00BC6CE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СПБ, п. Песочный, ул. Ленинградская, дом 68</w:t>
            </w:r>
            <w:r w:rsidRPr="00C15FD9">
              <w:rPr>
                <w:rFonts w:ascii="Times New Roman" w:hAnsi="Times New Roman" w:cs="Times New Roman"/>
                <w:noProof/>
                <w:sz w:val="24"/>
                <w:szCs w:val="24"/>
              </w:rPr>
              <w:fldChar w:fldCharType="end"/>
            </w:r>
            <w:bookmarkEnd w:id="5"/>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C15FD9" w:rsidRDefault="00C14573" w:rsidP="00BC6CE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a3677fa_7"/>
                  <w:enabled/>
                  <w:calcOnExit w:val="0"/>
                  <w:textInput>
                    <w:default w:val="3. Авансирование"/>
                  </w:textInput>
                </w:ffData>
              </w:fldChar>
            </w:r>
            <w:bookmarkStart w:id="6" w:name="Доп_1a3677fa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 предусмотрено</w:t>
            </w:r>
            <w:r w:rsidRPr="00C15FD9">
              <w:rPr>
                <w:rFonts w:ascii="Times New Roman" w:hAnsi="Times New Roman" w:cs="Times New Roman"/>
                <w:noProof/>
                <w:sz w:val="24"/>
                <w:szCs w:val="24"/>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Default="00C14573" w:rsidP="00BC6CE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 момента подписания Контракта</w:t>
            </w:r>
            <w:r w:rsidRPr="00C15FD9">
              <w:rPr>
                <w:rFonts w:ascii="Times New Roman" w:hAnsi="Times New Roman" w:cs="Times New Roman"/>
                <w:noProof/>
                <w:sz w:val="24"/>
                <w:szCs w:val="24"/>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Default="00C14573" w:rsidP="00BC6CE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31.03.2026</w:t>
            </w:r>
            <w:r w:rsidRPr="00C15FD9">
              <w:rPr>
                <w:rFonts w:ascii="Times New Roman" w:hAnsi="Times New Roman" w:cs="Times New Roman"/>
                <w:noProof/>
                <w:sz w:val="24"/>
                <w:szCs w:val="24"/>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Default="00C14573" w:rsidP="00BC6CE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В течение 6 (шести) рабочих дней после поступления заявки от Покупателя. Последняя дата подачи заявки на поставку 23.03.2026, поставка одной партией</w:t>
            </w:r>
            <w:r w:rsidRPr="00C15FD9">
              <w:rPr>
                <w:rFonts w:ascii="Times New Roman" w:hAnsi="Times New Roman" w:cs="Times New Roman"/>
                <w:noProof/>
                <w:sz w:val="24"/>
                <w:szCs w:val="24"/>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Default="00C14573" w:rsidP="00BC6CE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без РУ</w:t>
            </w:r>
            <w:r w:rsidRPr="00C15FD9">
              <w:rPr>
                <w:rFonts w:ascii="Times New Roman" w:hAnsi="Times New Roman" w:cs="Times New Roman"/>
                <w:noProof/>
                <w:sz w:val="24"/>
                <w:szCs w:val="24"/>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Default="00C14573" w:rsidP="00BC6CE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c4672d1c_d"/>
                  <w:enabled/>
                  <w:calcOnExit w:val="0"/>
                  <w:textInput>
                    <w:default w:val="8. Требования к гарантии качества"/>
                  </w:textInput>
                </w:ffData>
              </w:fldChar>
            </w:r>
            <w:bookmarkStart w:id="11" w:name="Доп_c4672d1c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C15FD9" w:rsidRDefault="00C14573" w:rsidP="00BC6CE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Остаточный срок годности товара на момент поставки должен быть не менее 12 (двенадцати) месяцев, а если общий срок годности товара составляет 1 год и менее, то остаточный срок годности на момент поставки товара должен составлять не менее 60% от установленного производителем срока годности</w:t>
            </w:r>
            <w:r w:rsidRPr="00C15FD9">
              <w:rPr>
                <w:rFonts w:ascii="Times New Roman" w:hAnsi="Times New Roman" w:cs="Times New Roman"/>
                <w:noProof/>
                <w:sz w:val="24"/>
                <w:szCs w:val="24"/>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Default="00C14573" w:rsidP="00BC6CE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Default="00C14573" w:rsidP="00BC6CE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ПП РФ от 23.12.2024 № 1875 – преимущество</w:t>
            </w:r>
            <w:r w:rsidRPr="00C15FD9">
              <w:rPr>
                <w:rFonts w:ascii="Times New Roman" w:hAnsi="Times New Roman" w:cs="Times New Roman"/>
                <w:noProof/>
                <w:sz w:val="24"/>
                <w:szCs w:val="24"/>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Default="00C14573" w:rsidP="00BC6CE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25ff50e0_c"/>
                  <w:enabled/>
                  <w:calcOnExit w:val="0"/>
                  <w:textInput>
                    <w:default w:val="9.1. Преимущества (СМП, Инвалиды, УИС)"/>
                  </w:textInput>
                </w:ffData>
              </w:fldChar>
            </w:r>
            <w:bookmarkStart w:id="15" w:name="Доп_25ff50e0_c"/>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смп</w:t>
            </w:r>
            <w:r w:rsidRPr="00C15FD9">
              <w:rPr>
                <w:rFonts w:ascii="Times New Roman" w:hAnsi="Times New Roman" w:cs="Times New Roman"/>
                <w:noProof/>
                <w:sz w:val="24"/>
                <w:szCs w:val="24"/>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402525" w:rsidRDefault="002F29AE" w:rsidP="00BC6CEE">
            <w:pPr>
              <w:ind w:right="-1"/>
              <w:rPr>
                <w:rFonts w:ascii="Times New Roman" w:hAnsi="Times New Roman" w:cs="Times New Roman"/>
                <w:noProof/>
                <w:sz w:val="24"/>
                <w:szCs w:val="24"/>
              </w:rPr>
            </w:pPr>
            <w:r w:rsidRPr="002F29AE">
              <w:rPr>
                <w:rFonts w:ascii="Times New Roman" w:hAnsi="Times New Roman" w:cs="Times New Roman"/>
                <w:noProof/>
                <w:sz w:val="24"/>
                <w:szCs w:val="24"/>
              </w:rPr>
              <w:fldChar w:fldCharType="begin">
                <w:ffData>
                  <w:name w:val="Доп_07f2a8a6_a"/>
                  <w:enabled/>
                  <w:calcOnExit w:val="0"/>
                  <w:textInput>
                    <w:default w:val="9.2. Требования к участникам"/>
                  </w:textInput>
                </w:ffData>
              </w:fldChar>
            </w:r>
            <w:bookmarkStart w:id="16" w:name="Доп_07f2a8a6_a"/>
            <w:r w:rsidRPr="002F29AE">
              <w:rPr>
                <w:rFonts w:ascii="Times New Roman" w:hAnsi="Times New Roman" w:cs="Times New Roman"/>
                <w:noProof/>
                <w:sz w:val="24"/>
                <w:szCs w:val="24"/>
              </w:rPr>
              <w:instrText xml:space="preserve"> FORMTEXT </w:instrText>
            </w:r>
            <w:r w:rsidRPr="002F29AE">
              <w:rPr>
                <w:rFonts w:ascii="Times New Roman" w:hAnsi="Times New Roman" w:cs="Times New Roman"/>
                <w:noProof/>
                <w:sz w:val="24"/>
                <w:szCs w:val="24"/>
              </w:rPr>
            </w:r>
            <w:r w:rsidRPr="002F29AE">
              <w:rPr>
                <w:rFonts w:ascii="Times New Roman" w:hAnsi="Times New Roman" w:cs="Times New Roman"/>
                <w:noProof/>
                <w:sz w:val="24"/>
                <w:szCs w:val="24"/>
              </w:rPr>
              <w:fldChar w:fldCharType="separate"/>
            </w:r>
            <w:r w:rsidRPr="002F29AE">
              <w:rPr>
                <w:rFonts w:ascii="Times New Roman" w:hAnsi="Times New Roman" w:cs="Times New Roman"/>
                <w:noProof/>
                <w:sz w:val="24"/>
                <w:szCs w:val="24"/>
              </w:rPr>
              <w:t>нет</w:t>
            </w:r>
            <w:r w:rsidRPr="002F29AE">
              <w:rPr>
                <w:rFonts w:ascii="Times New Roman" w:hAnsi="Times New Roman" w:cs="Times New Roman"/>
                <w:noProof/>
                <w:sz w:val="24"/>
                <w:szCs w:val="24"/>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Default="00C14573" w:rsidP="00BC6CEE">
            <w:pPr>
              <w:ind w:right="-1"/>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да</w:t>
            </w:r>
            <w:r w:rsidRPr="00C15FD9">
              <w:rPr>
                <w:rFonts w:ascii="Times New Roman" w:hAnsi="Times New Roman" w:cs="Times New Roman"/>
                <w:noProof/>
                <w:sz w:val="24"/>
                <w:szCs w:val="24"/>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lastRenderedPageBreak/>
              <w:t>(при наличии ПП № 2571)</w:t>
            </w:r>
          </w:p>
        </w:tc>
        <w:tc>
          <w:tcPr>
            <w:tcW w:w="4692" w:type="dxa"/>
          </w:tcPr>
          <w:p w:rsidR="00C14573" w:rsidRDefault="00C14573" w:rsidP="00BC6CEE">
            <w:pPr>
              <w:ind w:right="-1"/>
              <w:rPr>
                <w:rFonts w:ascii="Times New Roman" w:hAnsi="Times New Roman" w:cs="Times New Roman"/>
                <w:noProof/>
                <w:sz w:val="24"/>
                <w:szCs w:val="24"/>
              </w:rPr>
            </w:pPr>
            <w:r w:rsidRPr="00C15FD9">
              <w:rPr>
                <w:rFonts w:ascii="Times New Roman" w:hAnsi="Times New Roman" w:cs="Times New Roman"/>
                <w:noProof/>
                <w:sz w:val="24"/>
                <w:szCs w:val="24"/>
              </w:rPr>
              <w:lastRenderedPageBreak/>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нет</w:t>
            </w:r>
            <w:r w:rsidRPr="00C15FD9">
              <w:rPr>
                <w:rFonts w:ascii="Times New Roman" w:hAnsi="Times New Roman" w:cs="Times New Roman"/>
                <w:noProof/>
                <w:sz w:val="24"/>
                <w:szCs w:val="24"/>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lastRenderedPageBreak/>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C15FD9" w:rsidRDefault="00C14573" w:rsidP="005F1058">
            <w:pPr>
              <w:ind w:right="-1"/>
              <w:jc w:val="both"/>
              <w:rPr>
                <w:rFonts w:ascii="Times New Roman" w:hAnsi="Times New Roman" w:cs="Times New Roman"/>
                <w:noProof/>
                <w:sz w:val="24"/>
                <w:szCs w:val="24"/>
              </w:rPr>
            </w:pPr>
            <w:r w:rsidRPr="00C15FD9">
              <w:rPr>
                <w:rFonts w:ascii="Times New Roman" w:hAnsi="Times New Roman" w:cs="Times New Roman"/>
                <w:noProof/>
                <w:sz w:val="24"/>
                <w:szCs w:val="24"/>
              </w:rPr>
              <w:fldChar w:fldCharType="begin">
                <w:ffData>
                  <w:name w:val="Доп_1d3a4d27_2"/>
                  <w:enabled/>
                  <w:calcOnExit w:val="0"/>
                  <w:textInput>
                    <w:default w:val="11. Страна происхождения"/>
                  </w:textInput>
                </w:ffData>
              </w:fldChar>
            </w:r>
            <w:bookmarkStart w:id="19" w:name="Доп_1d3a4d27_2"/>
            <w:r w:rsidRPr="00C15FD9">
              <w:rPr>
                <w:rFonts w:ascii="Times New Roman" w:hAnsi="Times New Roman" w:cs="Times New Roman"/>
                <w:noProof/>
                <w:sz w:val="24"/>
                <w:szCs w:val="24"/>
              </w:rPr>
              <w:instrText xml:space="preserve"> FORMTEXT </w:instrText>
            </w:r>
            <w:r w:rsidRPr="00C15FD9">
              <w:rPr>
                <w:rFonts w:ascii="Times New Roman" w:hAnsi="Times New Roman" w:cs="Times New Roman"/>
                <w:noProof/>
                <w:sz w:val="24"/>
                <w:szCs w:val="24"/>
              </w:rPr>
            </w:r>
            <w:r w:rsidRPr="00C15FD9">
              <w:rPr>
                <w:rFonts w:ascii="Times New Roman" w:hAnsi="Times New Roman" w:cs="Times New Roman"/>
                <w:noProof/>
                <w:sz w:val="24"/>
                <w:szCs w:val="24"/>
              </w:rPr>
              <w:fldChar w:fldCharType="separate"/>
            </w:r>
            <w:r w:rsidRPr="00C15FD9">
              <w:rPr>
                <w:rFonts w:ascii="Times New Roman" w:hAnsi="Times New Roman" w:cs="Times New Roman"/>
                <w:noProof/>
                <w:sz w:val="24"/>
                <w:szCs w:val="24"/>
              </w:rPr>
              <w:t>Указаны в пункте 13</w:t>
            </w:r>
            <w:r w:rsidRPr="00C15FD9">
              <w:rPr>
                <w:rFonts w:ascii="Times New Roman" w:hAnsi="Times New Roman" w:cs="Times New Roman"/>
                <w:noProof/>
                <w:sz w:val="24"/>
                <w:szCs w:val="24"/>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Default="00C14573" w:rsidP="005F1058">
            <w:pPr>
              <w:ind w:right="-1"/>
              <w:jc w:val="both"/>
              <w:rPr>
                <w:rFonts w:ascii="Times New Roman" w:hAnsi="Times New Roman" w:cs="Times New Roman"/>
                <w:noProof/>
                <w:sz w:val="24"/>
                <w:szCs w:val="24"/>
              </w:rPr>
            </w:pPr>
            <w:r w:rsidRPr="00F621DB">
              <w:rPr>
                <w:rFonts w:ascii="Times New Roman" w:hAnsi="Times New Roman" w:cs="Times New Roman"/>
                <w:noProof/>
                <w:sz w:val="24"/>
                <w:szCs w:val="24"/>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F621DB">
              <w:rPr>
                <w:rFonts w:ascii="Times New Roman" w:hAnsi="Times New Roman" w:cs="Times New Roman"/>
                <w:noProof/>
                <w:sz w:val="24"/>
                <w:szCs w:val="24"/>
              </w:rPr>
              <w:instrText xml:space="preserve"> FORMTEXT </w:instrText>
            </w:r>
            <w:r w:rsidRPr="00F621DB">
              <w:rPr>
                <w:rFonts w:ascii="Times New Roman" w:hAnsi="Times New Roman" w:cs="Times New Roman"/>
                <w:noProof/>
                <w:sz w:val="24"/>
                <w:szCs w:val="24"/>
              </w:rPr>
            </w:r>
            <w:r w:rsidRPr="00F621DB">
              <w:rPr>
                <w:rFonts w:ascii="Times New Roman" w:hAnsi="Times New Roman" w:cs="Times New Roman"/>
                <w:noProof/>
                <w:sz w:val="24"/>
                <w:szCs w:val="24"/>
              </w:rPr>
              <w:fldChar w:fldCharType="separate"/>
            </w:r>
            <w:r w:rsidRPr="00F621DB">
              <w:rPr>
                <w:rFonts w:ascii="Times New Roman" w:hAnsi="Times New Roman" w:cs="Times New Roman"/>
                <w:noProof/>
                <w:sz w:val="24"/>
                <w:szCs w:val="24"/>
              </w:rPr>
              <w:t>Указаны в пункте 13</w:t>
            </w:r>
            <w:r w:rsidRPr="00F621DB">
              <w:rPr>
                <w:rFonts w:ascii="Times New Roman" w:hAnsi="Times New Roman" w:cs="Times New Roman"/>
                <w:noProof/>
                <w:sz w:val="24"/>
                <w:szCs w:val="24"/>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BC6CEE" w:rsidRPr="00BC6CEE" w:rsidRDefault="00C14573" w:rsidP="00BC6CEE">
      <w:pPr>
        <w:pStyle w:val="a7"/>
        <w:widowControl w:val="0"/>
        <w:spacing w:after="0"/>
        <w:ind w:left="644"/>
        <w:jc w:val="center"/>
        <w:rPr>
          <w:rFonts w:ascii="Times New Roman" w:hAnsi="Times New Roman"/>
          <w:b/>
          <w:sz w:val="24"/>
          <w:szCs w:val="26"/>
        </w:rPr>
      </w:pPr>
      <w:r>
        <w:rPr>
          <w:rFonts w:ascii="Times New Roman" w:hAnsi="Times New Roman"/>
          <w:b/>
          <w:sz w:val="24"/>
          <w:szCs w:val="26"/>
        </w:rPr>
        <w:lastRenderedPageBreak/>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1"/>
        <w:gridCol w:w="2171"/>
        <w:gridCol w:w="5151"/>
        <w:gridCol w:w="1048"/>
        <w:gridCol w:w="916"/>
        <w:gridCol w:w="1505"/>
        <w:gridCol w:w="1461"/>
        <w:gridCol w:w="775"/>
        <w:gridCol w:w="932"/>
        <w:gridCol w:w="1358"/>
      </w:tblGrid>
      <w:tr w:rsidR="00BC6CEE" w:rsidRPr="00724D44" w:rsidTr="00B50B1D">
        <w:trPr>
          <w:trHeight w:val="20"/>
          <w:jc w:val="center"/>
        </w:trPr>
        <w:tc>
          <w:tcPr>
            <w:tcW w:w="631" w:type="dxa"/>
            <w:vAlign w:val="center"/>
            <w:hideMark/>
          </w:tcPr>
          <w:p w:rsidR="00BC6CEE" w:rsidRPr="00724D44" w:rsidRDefault="00BC6CEE" w:rsidP="00B50B1D">
            <w:pPr>
              <w:spacing w:after="0" w:line="240" w:lineRule="auto"/>
              <w:jc w:val="center"/>
              <w:rPr>
                <w:rFonts w:ascii="Times New Roman" w:eastAsia="Times New Roman" w:hAnsi="Times New Roman" w:cs="Times New Roman"/>
                <w:b/>
                <w:lang w:eastAsia="ru-RU"/>
              </w:rPr>
            </w:pPr>
            <w:r w:rsidRPr="00724D44">
              <w:rPr>
                <w:rFonts w:ascii="Times New Roman" w:eastAsia="Times New Roman" w:hAnsi="Times New Roman" w:cs="Times New Roman"/>
                <w:b/>
                <w:lang w:eastAsia="ru-RU"/>
              </w:rPr>
              <w:t>№ п/п</w:t>
            </w:r>
          </w:p>
        </w:tc>
        <w:tc>
          <w:tcPr>
            <w:tcW w:w="2171" w:type="dxa"/>
            <w:vAlign w:val="center"/>
            <w:hideMark/>
          </w:tcPr>
          <w:p w:rsidR="00BC6CEE" w:rsidRPr="00724D44" w:rsidRDefault="00BC6CEE" w:rsidP="00B50B1D">
            <w:pPr>
              <w:spacing w:after="0" w:line="240" w:lineRule="auto"/>
              <w:jc w:val="center"/>
              <w:rPr>
                <w:rFonts w:ascii="Times New Roman" w:eastAsia="Times New Roman" w:hAnsi="Times New Roman" w:cs="Times New Roman"/>
                <w:b/>
                <w:lang w:eastAsia="ru-RU"/>
              </w:rPr>
            </w:pPr>
            <w:r w:rsidRPr="00724D44">
              <w:rPr>
                <w:rFonts w:ascii="Times New Roman" w:eastAsia="Times New Roman" w:hAnsi="Times New Roman" w:cs="Times New Roman"/>
                <w:b/>
                <w:lang w:eastAsia="ru-RU"/>
              </w:rPr>
              <w:t xml:space="preserve">Наименование товара </w:t>
            </w:r>
          </w:p>
        </w:tc>
        <w:tc>
          <w:tcPr>
            <w:tcW w:w="5151" w:type="dxa"/>
            <w:vAlign w:val="center"/>
            <w:hideMark/>
          </w:tcPr>
          <w:p w:rsidR="00BC6CEE" w:rsidRPr="00724D44" w:rsidRDefault="00BC6CEE" w:rsidP="00B50B1D">
            <w:pPr>
              <w:spacing w:after="0" w:line="240" w:lineRule="auto"/>
              <w:jc w:val="center"/>
              <w:rPr>
                <w:rFonts w:ascii="Times New Roman" w:eastAsia="Times New Roman" w:hAnsi="Times New Roman" w:cs="Times New Roman"/>
                <w:b/>
                <w:lang w:eastAsia="ru-RU"/>
              </w:rPr>
            </w:pPr>
            <w:r w:rsidRPr="00724D44">
              <w:rPr>
                <w:rFonts w:ascii="Times New Roman" w:eastAsia="Times New Roman" w:hAnsi="Times New Roman" w:cs="Times New Roman"/>
                <w:b/>
                <w:lang w:eastAsia="ru-RU"/>
              </w:rPr>
              <w:t>Требования к качеству, техническим и функциональным характеристикам товара</w:t>
            </w:r>
          </w:p>
        </w:tc>
        <w:tc>
          <w:tcPr>
            <w:tcW w:w="1048" w:type="dxa"/>
            <w:vAlign w:val="center"/>
            <w:hideMark/>
          </w:tcPr>
          <w:p w:rsidR="00BC6CEE" w:rsidRPr="00724D44" w:rsidRDefault="00BC6CEE" w:rsidP="00B50B1D">
            <w:pPr>
              <w:spacing w:after="0" w:line="240" w:lineRule="auto"/>
              <w:jc w:val="center"/>
              <w:rPr>
                <w:rFonts w:ascii="Times New Roman" w:eastAsia="Times New Roman" w:hAnsi="Times New Roman" w:cs="Times New Roman"/>
                <w:b/>
                <w:lang w:eastAsia="ru-RU"/>
              </w:rPr>
            </w:pPr>
            <w:r w:rsidRPr="00724D44">
              <w:rPr>
                <w:rFonts w:ascii="Times New Roman" w:eastAsia="Times New Roman" w:hAnsi="Times New Roman" w:cs="Times New Roman"/>
                <w:b/>
                <w:lang w:eastAsia="ru-RU"/>
              </w:rPr>
              <w:t>Кол-во</w:t>
            </w:r>
          </w:p>
        </w:tc>
        <w:tc>
          <w:tcPr>
            <w:tcW w:w="916" w:type="dxa"/>
            <w:vAlign w:val="center"/>
            <w:hideMark/>
          </w:tcPr>
          <w:p w:rsidR="00BC6CEE" w:rsidRPr="00724D44" w:rsidRDefault="00BC6CEE" w:rsidP="00B50B1D">
            <w:pPr>
              <w:spacing w:after="0" w:line="240" w:lineRule="auto"/>
              <w:jc w:val="center"/>
              <w:rPr>
                <w:rFonts w:ascii="Times New Roman" w:eastAsia="Times New Roman" w:hAnsi="Times New Roman" w:cs="Times New Roman"/>
                <w:b/>
                <w:lang w:eastAsia="ru-RU"/>
              </w:rPr>
            </w:pPr>
            <w:r w:rsidRPr="00724D44">
              <w:rPr>
                <w:rFonts w:ascii="Times New Roman" w:eastAsia="Times New Roman" w:hAnsi="Times New Roman" w:cs="Times New Roman"/>
                <w:b/>
                <w:lang w:eastAsia="ru-RU"/>
              </w:rPr>
              <w:t>Ед. изм.</w:t>
            </w:r>
          </w:p>
        </w:tc>
        <w:tc>
          <w:tcPr>
            <w:tcW w:w="1505" w:type="dxa"/>
            <w:vAlign w:val="center"/>
            <w:hideMark/>
          </w:tcPr>
          <w:p w:rsidR="00BC6CEE" w:rsidRPr="00724D44" w:rsidRDefault="00BC6CEE" w:rsidP="00B50B1D">
            <w:pPr>
              <w:spacing w:after="0" w:line="240" w:lineRule="auto"/>
              <w:jc w:val="center"/>
              <w:rPr>
                <w:rFonts w:ascii="Times New Roman" w:eastAsia="Times New Roman" w:hAnsi="Times New Roman" w:cs="Times New Roman"/>
                <w:b/>
                <w:lang w:eastAsia="ru-RU"/>
              </w:rPr>
            </w:pPr>
            <w:r w:rsidRPr="00724D44">
              <w:rPr>
                <w:rFonts w:ascii="Times New Roman" w:eastAsia="Times New Roman" w:hAnsi="Times New Roman" w:cs="Times New Roman"/>
                <w:b/>
                <w:lang w:eastAsia="ru-RU"/>
              </w:rPr>
              <w:t>ОКПД2/ КТРУ</w:t>
            </w:r>
          </w:p>
        </w:tc>
        <w:tc>
          <w:tcPr>
            <w:tcW w:w="1461" w:type="dxa"/>
            <w:shd w:val="clear" w:color="auto" w:fill="FFFFCC"/>
            <w:vAlign w:val="center"/>
            <w:hideMark/>
          </w:tcPr>
          <w:p w:rsidR="00BC6CEE" w:rsidRPr="00724D44" w:rsidRDefault="00BC6CEE" w:rsidP="00B50B1D">
            <w:pPr>
              <w:spacing w:after="0" w:line="240" w:lineRule="auto"/>
              <w:jc w:val="center"/>
              <w:rPr>
                <w:rFonts w:ascii="Times New Roman" w:eastAsia="Times New Roman" w:hAnsi="Times New Roman" w:cs="Times New Roman"/>
                <w:b/>
                <w:lang w:eastAsia="ru-RU"/>
              </w:rPr>
            </w:pPr>
            <w:r w:rsidRPr="00724D44">
              <w:rPr>
                <w:rFonts w:ascii="Times New Roman" w:eastAsia="Times New Roman" w:hAnsi="Times New Roman" w:cs="Times New Roman"/>
                <w:b/>
                <w:lang w:eastAsia="ru-RU"/>
              </w:rPr>
              <w:t>Страна происхождения</w:t>
            </w:r>
          </w:p>
        </w:tc>
        <w:tc>
          <w:tcPr>
            <w:tcW w:w="775" w:type="dxa"/>
            <w:shd w:val="clear" w:color="auto" w:fill="FFFFCC"/>
            <w:vAlign w:val="center"/>
            <w:hideMark/>
          </w:tcPr>
          <w:p w:rsidR="00BC6CEE" w:rsidRPr="00724D44" w:rsidRDefault="00BC6CEE" w:rsidP="00B50B1D">
            <w:pPr>
              <w:spacing w:after="0" w:line="240" w:lineRule="auto"/>
              <w:jc w:val="center"/>
              <w:rPr>
                <w:rFonts w:ascii="Times New Roman" w:eastAsia="Times New Roman" w:hAnsi="Times New Roman" w:cs="Times New Roman"/>
                <w:b/>
                <w:lang w:eastAsia="ru-RU"/>
              </w:rPr>
            </w:pPr>
            <w:r w:rsidRPr="00724D44">
              <w:rPr>
                <w:rFonts w:ascii="Times New Roman" w:eastAsia="Times New Roman" w:hAnsi="Times New Roman" w:cs="Times New Roman"/>
                <w:b/>
                <w:lang w:eastAsia="ru-RU"/>
              </w:rPr>
              <w:t>НДС %</w:t>
            </w:r>
          </w:p>
        </w:tc>
        <w:tc>
          <w:tcPr>
            <w:tcW w:w="932" w:type="dxa"/>
            <w:shd w:val="clear" w:color="auto" w:fill="FFFFCC"/>
            <w:vAlign w:val="center"/>
            <w:hideMark/>
          </w:tcPr>
          <w:p w:rsidR="00BC6CEE" w:rsidRPr="00724D44" w:rsidRDefault="00BC6CEE" w:rsidP="00B50B1D">
            <w:pPr>
              <w:spacing w:after="0" w:line="240" w:lineRule="auto"/>
              <w:jc w:val="center"/>
              <w:rPr>
                <w:rFonts w:ascii="Times New Roman" w:eastAsia="Times New Roman" w:hAnsi="Times New Roman" w:cs="Times New Roman"/>
                <w:b/>
                <w:lang w:eastAsia="ru-RU"/>
              </w:rPr>
            </w:pPr>
            <w:r w:rsidRPr="00724D44">
              <w:rPr>
                <w:rFonts w:ascii="Times New Roman" w:eastAsia="Times New Roman" w:hAnsi="Times New Roman" w:cs="Times New Roman"/>
                <w:b/>
                <w:lang w:eastAsia="ru-RU"/>
              </w:rPr>
              <w:t>Цена за ед. без НДС (руб.)</w:t>
            </w:r>
          </w:p>
        </w:tc>
        <w:tc>
          <w:tcPr>
            <w:tcW w:w="1358" w:type="dxa"/>
            <w:shd w:val="clear" w:color="auto" w:fill="FFFFCC"/>
            <w:vAlign w:val="center"/>
            <w:hideMark/>
          </w:tcPr>
          <w:p w:rsidR="00BC6CEE" w:rsidRPr="00724D44" w:rsidRDefault="00BC6CEE" w:rsidP="00B50B1D">
            <w:pPr>
              <w:spacing w:after="0" w:line="240" w:lineRule="auto"/>
              <w:jc w:val="center"/>
              <w:rPr>
                <w:rFonts w:ascii="Times New Roman" w:eastAsia="Times New Roman" w:hAnsi="Times New Roman" w:cs="Times New Roman"/>
                <w:b/>
                <w:lang w:eastAsia="ru-RU"/>
              </w:rPr>
            </w:pPr>
            <w:r w:rsidRPr="00724D44">
              <w:rPr>
                <w:rFonts w:ascii="Times New Roman" w:eastAsia="Times New Roman" w:hAnsi="Times New Roman" w:cs="Times New Roman"/>
                <w:b/>
                <w:lang w:eastAsia="ru-RU"/>
              </w:rPr>
              <w:t>Сумма без НДС (руб.)</w:t>
            </w:r>
          </w:p>
        </w:tc>
      </w:tr>
      <w:tr w:rsidR="00BC6CEE" w:rsidRPr="00724D44" w:rsidTr="00B50B1D">
        <w:trPr>
          <w:trHeight w:val="20"/>
          <w:jc w:val="center"/>
        </w:trPr>
        <w:tc>
          <w:tcPr>
            <w:tcW w:w="631" w:type="dxa"/>
          </w:tcPr>
          <w:p w:rsidR="00BC6CEE" w:rsidRPr="00724D44" w:rsidRDefault="00BC6CEE" w:rsidP="00B50B1D">
            <w:pPr>
              <w:numPr>
                <w:ilvl w:val="0"/>
                <w:numId w:val="20"/>
              </w:numPr>
              <w:spacing w:after="0" w:line="240" w:lineRule="auto"/>
              <w:ind w:left="139" w:hanging="283"/>
              <w:contextualSpacing/>
              <w:jc w:val="center"/>
              <w:rPr>
                <w:rFonts w:ascii="Times New Roman" w:eastAsia="Times New Roman" w:hAnsi="Times New Roman" w:cs="Times New Roman"/>
                <w:lang w:eastAsia="ru-RU"/>
              </w:rPr>
            </w:pPr>
          </w:p>
        </w:tc>
        <w:tc>
          <w:tcPr>
            <w:tcW w:w="2171" w:type="dxa"/>
          </w:tcPr>
          <w:p w:rsidR="00BC6CEE" w:rsidRPr="00724D44" w:rsidRDefault="00BC6CEE" w:rsidP="00B50B1D">
            <w:pPr>
              <w:spacing w:after="0" w:line="240" w:lineRule="auto"/>
              <w:jc w:val="center"/>
              <w:rPr>
                <w:rFonts w:ascii="Times New Roman" w:eastAsia="Times New Roman" w:hAnsi="Times New Roman" w:cs="Times New Roman"/>
              </w:rPr>
            </w:pPr>
            <w:r w:rsidRPr="00DD50E6">
              <w:rPr>
                <w:rFonts w:ascii="Times New Roman" w:eastAsia="Times New Roman" w:hAnsi="Times New Roman" w:cs="Times New Roman"/>
              </w:rPr>
              <w:t>Набор емкостей для реагентов</w:t>
            </w:r>
          </w:p>
        </w:tc>
        <w:tc>
          <w:tcPr>
            <w:tcW w:w="5151" w:type="dxa"/>
          </w:tcPr>
          <w:p w:rsidR="00BC6CEE" w:rsidRDefault="00BC6CEE" w:rsidP="00B50B1D">
            <w:pPr>
              <w:spacing w:after="0" w:line="240" w:lineRule="auto"/>
              <w:rPr>
                <w:rFonts w:ascii="Times New Roman" w:eastAsia="Times New Roman" w:hAnsi="Times New Roman" w:cs="Times New Roman"/>
              </w:rPr>
            </w:pPr>
            <w:r w:rsidRPr="00DD50E6">
              <w:rPr>
                <w:rFonts w:ascii="Times New Roman" w:eastAsia="Times New Roman" w:hAnsi="Times New Roman" w:cs="Times New Roman"/>
              </w:rPr>
              <w:t>Набор емкос</w:t>
            </w:r>
            <w:r>
              <w:rPr>
                <w:rFonts w:ascii="Times New Roman" w:eastAsia="Times New Roman" w:hAnsi="Times New Roman" w:cs="Times New Roman"/>
              </w:rPr>
              <w:t>тей для реагентов для калибровки</w:t>
            </w:r>
            <w:r w:rsidRPr="00DD50E6">
              <w:rPr>
                <w:rFonts w:ascii="Times New Roman" w:eastAsia="Times New Roman" w:hAnsi="Times New Roman" w:cs="Times New Roman"/>
              </w:rPr>
              <w:t xml:space="preserve"> при монтаже объемом 12 мл. </w:t>
            </w:r>
          </w:p>
          <w:p w:rsidR="00BC6CEE" w:rsidRDefault="00BC6CEE" w:rsidP="00B50B1D">
            <w:pPr>
              <w:spacing w:after="0" w:line="240" w:lineRule="auto"/>
              <w:rPr>
                <w:rFonts w:ascii="Times New Roman" w:eastAsia="Times New Roman" w:hAnsi="Times New Roman" w:cs="Times New Roman"/>
              </w:rPr>
            </w:pPr>
            <w:r w:rsidRPr="00DD50E6">
              <w:rPr>
                <w:rFonts w:ascii="Times New Roman" w:eastAsia="Times New Roman" w:hAnsi="Times New Roman" w:cs="Times New Roman"/>
              </w:rPr>
              <w:t xml:space="preserve">Используется совместно с оборудованием Dako Autostainer Link. </w:t>
            </w:r>
          </w:p>
          <w:p w:rsidR="00BC6CEE" w:rsidRDefault="00BC6CEE" w:rsidP="00B50B1D">
            <w:pPr>
              <w:spacing w:after="0" w:line="240" w:lineRule="auto"/>
              <w:rPr>
                <w:rFonts w:ascii="Times New Roman" w:eastAsia="Times New Roman" w:hAnsi="Times New Roman" w:cs="Times New Roman"/>
              </w:rPr>
            </w:pPr>
            <w:r w:rsidRPr="00DD50E6">
              <w:rPr>
                <w:rFonts w:ascii="Times New Roman" w:eastAsia="Times New Roman" w:hAnsi="Times New Roman" w:cs="Times New Roman"/>
              </w:rPr>
              <w:t>Емкость предназначена для использования т</w:t>
            </w:r>
            <w:r>
              <w:rPr>
                <w:rFonts w:ascii="Times New Roman" w:eastAsia="Times New Roman" w:hAnsi="Times New Roman" w:cs="Times New Roman"/>
              </w:rPr>
              <w:t xml:space="preserve">олько в процедурах ИГХ. </w:t>
            </w:r>
          </w:p>
          <w:p w:rsidR="00BC6CEE" w:rsidRPr="00724D44" w:rsidRDefault="00BC6CEE" w:rsidP="00B50B1D">
            <w:pPr>
              <w:spacing w:after="0" w:line="240" w:lineRule="auto"/>
              <w:rPr>
                <w:rFonts w:ascii="Times New Roman" w:eastAsia="Times New Roman" w:hAnsi="Times New Roman" w:cs="Times New Roman"/>
              </w:rPr>
            </w:pPr>
            <w:r>
              <w:rPr>
                <w:rFonts w:ascii="Times New Roman" w:eastAsia="Times New Roman" w:hAnsi="Times New Roman" w:cs="Times New Roman"/>
              </w:rPr>
              <w:t>В упаковке 25 штук.</w:t>
            </w:r>
          </w:p>
        </w:tc>
        <w:tc>
          <w:tcPr>
            <w:tcW w:w="1048" w:type="dxa"/>
          </w:tcPr>
          <w:p w:rsidR="00BC6CEE" w:rsidRPr="00724D44" w:rsidRDefault="00BC6CEE" w:rsidP="00B50B1D">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916" w:type="dxa"/>
          </w:tcPr>
          <w:p w:rsidR="00BC6CEE" w:rsidRPr="00724D44" w:rsidRDefault="00BC6CEE" w:rsidP="00B50B1D">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упак</w:t>
            </w:r>
          </w:p>
        </w:tc>
        <w:tc>
          <w:tcPr>
            <w:tcW w:w="1505" w:type="dxa"/>
          </w:tcPr>
          <w:p w:rsidR="00BC6CEE" w:rsidRPr="00724D44" w:rsidRDefault="00BC6CEE" w:rsidP="00B50B1D">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32.99.59.00</w:t>
            </w:r>
          </w:p>
        </w:tc>
        <w:tc>
          <w:tcPr>
            <w:tcW w:w="1461" w:type="dxa"/>
            <w:shd w:val="clear" w:color="auto" w:fill="FFFFCC"/>
          </w:tcPr>
          <w:p w:rsidR="00BC6CEE" w:rsidRPr="00724D44" w:rsidRDefault="00BC6CEE" w:rsidP="00B50B1D">
            <w:pPr>
              <w:spacing w:after="0" w:line="240" w:lineRule="auto"/>
              <w:jc w:val="center"/>
              <w:rPr>
                <w:rFonts w:ascii="Times New Roman" w:eastAsia="Times New Roman" w:hAnsi="Times New Roman" w:cs="Times New Roman"/>
                <w:lang w:eastAsia="ru-RU"/>
              </w:rPr>
            </w:pPr>
          </w:p>
        </w:tc>
        <w:tc>
          <w:tcPr>
            <w:tcW w:w="775" w:type="dxa"/>
            <w:shd w:val="clear" w:color="auto" w:fill="FFFFCC"/>
          </w:tcPr>
          <w:p w:rsidR="00BC6CEE" w:rsidRPr="00724D44" w:rsidRDefault="00BC6CEE" w:rsidP="00B50B1D">
            <w:pPr>
              <w:spacing w:after="0" w:line="240" w:lineRule="auto"/>
              <w:jc w:val="center"/>
              <w:rPr>
                <w:rFonts w:ascii="Times New Roman" w:eastAsia="Times New Roman" w:hAnsi="Times New Roman" w:cs="Times New Roman"/>
                <w:lang w:eastAsia="ru-RU"/>
              </w:rPr>
            </w:pPr>
          </w:p>
        </w:tc>
        <w:tc>
          <w:tcPr>
            <w:tcW w:w="932" w:type="dxa"/>
            <w:shd w:val="clear" w:color="auto" w:fill="FFFFCC"/>
          </w:tcPr>
          <w:p w:rsidR="00BC6CEE" w:rsidRPr="00724D44" w:rsidRDefault="00BC6CEE" w:rsidP="00B50B1D">
            <w:pPr>
              <w:spacing w:after="0" w:line="240" w:lineRule="auto"/>
              <w:jc w:val="center"/>
              <w:rPr>
                <w:rFonts w:ascii="Times New Roman" w:eastAsia="Times New Roman" w:hAnsi="Times New Roman" w:cs="Times New Roman"/>
                <w:lang w:eastAsia="ru-RU"/>
              </w:rPr>
            </w:pPr>
          </w:p>
        </w:tc>
        <w:tc>
          <w:tcPr>
            <w:tcW w:w="1358" w:type="dxa"/>
            <w:shd w:val="clear" w:color="auto" w:fill="FFFFCC"/>
          </w:tcPr>
          <w:p w:rsidR="00BC6CEE" w:rsidRPr="00724D44" w:rsidRDefault="00BC6CEE" w:rsidP="00B50B1D">
            <w:pPr>
              <w:spacing w:after="0" w:line="240" w:lineRule="auto"/>
              <w:jc w:val="center"/>
              <w:rPr>
                <w:rFonts w:ascii="Times New Roman" w:eastAsia="Times New Roman" w:hAnsi="Times New Roman" w:cs="Times New Roman"/>
                <w:lang w:eastAsia="ru-RU"/>
              </w:rPr>
            </w:pPr>
          </w:p>
        </w:tc>
      </w:tr>
    </w:tbl>
    <w:p w:rsidR="00170252" w:rsidRDefault="00170252" w:rsidP="00BC6CEE">
      <w:pPr>
        <w:tabs>
          <w:tab w:val="left" w:pos="5696"/>
        </w:tabs>
        <w:rPr>
          <w:rFonts w:ascii="Times New Roman" w:hAnsi="Times New Roman" w:cs="Times New Roman"/>
          <w:b/>
          <w:sz w:val="28"/>
          <w:szCs w:val="28"/>
        </w:rPr>
      </w:pPr>
    </w:p>
    <w:sectPr w:rsidR="00170252" w:rsidSect="00BC6CEE">
      <w:headerReference w:type="first" r:id="rId18"/>
      <w:footerReference w:type="first" r:id="rId19"/>
      <w:pgSz w:w="16838" w:h="11906" w:orient="landscape"/>
      <w:pgMar w:top="1701" w:right="539" w:bottom="851" w:left="56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6960" w:rsidRDefault="003D6960">
      <w:pPr>
        <w:spacing w:after="0" w:line="240" w:lineRule="auto"/>
      </w:pPr>
      <w:r>
        <w:separator/>
      </w:r>
    </w:p>
  </w:endnote>
  <w:endnote w:type="continuationSeparator" w:id="0">
    <w:p w:rsidR="003D6960" w:rsidRDefault="003D6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00000000"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33477" w:rsidRDefault="00C33477">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33477">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C33477">
          <w:rPr>
            <w:noProof/>
          </w:rPr>
          <w:t>3</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C33477">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33477">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C33477">
    <w:pPr>
      <w:pStyle w:val="ab"/>
      <w:jc w:val="right"/>
    </w:pPr>
    <w:sdt>
      <w:sdtPr>
        <w:id w:val="-800836465"/>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Pr>
            <w:noProof/>
          </w:rPr>
          <w:t>4</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6960" w:rsidRDefault="003D6960">
      <w:pPr>
        <w:spacing w:after="0" w:line="240" w:lineRule="auto"/>
      </w:pPr>
      <w:r>
        <w:separator/>
      </w:r>
    </w:p>
  </w:footnote>
  <w:footnote w:type="continuationSeparator" w:id="0">
    <w:p w:rsidR="003D6960" w:rsidRDefault="003D6960">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33477" w:rsidRDefault="00C33477">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33477" w:rsidRDefault="00C33477">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C33477" w:rsidRDefault="00C33477">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764B7A"/>
    <w:multiLevelType w:val="hybridMultilevel"/>
    <w:tmpl w:val="A46C6766"/>
    <w:lvl w:ilvl="0" w:tplc="0419000F">
      <w:start w:val="1"/>
      <w:numFmt w:val="decimal"/>
      <w:lvlText w:val="%1."/>
      <w:lvlJc w:val="left"/>
      <w:pPr>
        <w:ind w:left="785"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19"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1"/>
  </w:num>
  <w:num w:numId="4">
    <w:abstractNumId w:val="3"/>
  </w:num>
  <w:num w:numId="5">
    <w:abstractNumId w:val="14"/>
  </w:num>
  <w:num w:numId="6">
    <w:abstractNumId w:val="10"/>
  </w:num>
  <w:num w:numId="7">
    <w:abstractNumId w:val="2"/>
  </w:num>
  <w:num w:numId="8">
    <w:abstractNumId w:val="17"/>
  </w:num>
  <w:num w:numId="9">
    <w:abstractNumId w:val="1"/>
  </w:num>
  <w:num w:numId="10">
    <w:abstractNumId w:val="16"/>
  </w:num>
  <w:num w:numId="11">
    <w:abstractNumId w:val="19"/>
  </w:num>
  <w:num w:numId="12">
    <w:abstractNumId w:val="9"/>
  </w:num>
  <w:num w:numId="13">
    <w:abstractNumId w:val="4"/>
  </w:num>
  <w:num w:numId="14">
    <w:abstractNumId w:val="8"/>
  </w:num>
  <w:num w:numId="15">
    <w:abstractNumId w:val="18"/>
  </w:num>
  <w:num w:numId="16">
    <w:abstractNumId w:val="13"/>
  </w:num>
  <w:num w:numId="17">
    <w:abstractNumId w:val="7"/>
  </w:num>
  <w:num w:numId="18">
    <w:abstractNumId w:val="6"/>
  </w:num>
  <w:num w:numId="19">
    <w:abstractNumId w:val="15"/>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D6960"/>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91306B"/>
    <w:rsid w:val="00924D15"/>
    <w:rsid w:val="00930289"/>
    <w:rsid w:val="00942FA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C6CEE"/>
    <w:rsid w:val="00BE3F70"/>
    <w:rsid w:val="00BE4CB3"/>
    <w:rsid w:val="00BF2771"/>
    <w:rsid w:val="00C1195F"/>
    <w:rsid w:val="00C134B9"/>
    <w:rsid w:val="00C14573"/>
    <w:rsid w:val="00C22E6F"/>
    <w:rsid w:val="00C33477"/>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EB4"/>
    <w:rsid w:val="00E06D2F"/>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basedOn w:val="a0"/>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FollowedHyperlink"/>
    <w:basedOn w:val="a1"/>
    <w:uiPriority w:val="99"/>
    <w:semiHidden/>
    <w:unhideWhenUsed/>
    <w:rsid w:val="00DB5EE8"/>
    <w:rPr>
      <w:color w:val="800080" w:themeColor="followedHyperlink"/>
      <w:u w:val="single"/>
    </w:rPr>
  </w:style>
  <w:style w:type="paragraph" w:styleId="af7">
    <w:name w:val="No Spacing"/>
    <w:uiPriority w:val="1"/>
    <w:qFormat/>
    <w:rsid w:val="00DB5EE8"/>
    <w:pPr>
      <w:spacing w:after="0" w:line="240" w:lineRule="auto"/>
    </w:pPr>
    <w:rPr>
      <w:rFonts w:ascii="Calibri" w:eastAsia="Times New Roman" w:hAnsi="Calibri" w:cs="Times New Roman"/>
      <w:lang w:eastAsia="ru-RU"/>
    </w:rPr>
  </w:style>
  <w:style w:type="character" w:styleId="af8">
    <w:name w:val="Placeholder Text"/>
    <w:basedOn w:val="a1"/>
    <w:uiPriority w:val="99"/>
    <w:semiHidden/>
    <w:rsid w:val="00EE6B83"/>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16A5A-C537-4A27-8C80-96F6DE1C6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914</Words>
  <Characters>5211</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2026-01-13T05:37:00Z</dcterms:created>
  <dcterms:modified xsi:type="dcterms:W3CDTF">2026-01-13T05:37:00Z</dcterms:modified>
</cp:coreProperties>
</file>