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29.11.2023 № 05-07/1583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9462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14"/>
        <w:gridCol w:w="8883"/>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расходных материалов для стерилизации</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попдисания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письменной заявки от Покупателя. Последняя дата подачи заявки на поставку 14.03.2024. Максимальное количество партий - 10 (десять).</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РУ</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843B42" w:rsidP="003C02B9">
            <w:pPr>
              <w:ind w:right="-1"/>
              <w:rPr>
                <w:rFonts w:ascii="Times New Roman" w:hAnsi="Times New Roman" w:cs="Times New Roman"/>
                <w:sz w:val="24"/>
                <w:szCs w:val="24"/>
              </w:rPr>
            </w:pPr>
            <w:r>
              <w:rPr>
                <w:rFonts w:ascii="Times New Roman" w:hAnsi="Times New Roman" w:cs="Times New Roman"/>
                <w:sz w:val="24"/>
                <w:szCs w:val="24"/>
              </w:rPr>
              <w:t>Преимущества инвалидам</w:t>
            </w:r>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19"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0"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1"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1"/>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523"/>
        <w:gridCol w:w="4692"/>
        <w:gridCol w:w="1445"/>
        <w:gridCol w:w="849"/>
        <w:gridCol w:w="893"/>
        <w:gridCol w:w="1688"/>
        <w:gridCol w:w="910"/>
        <w:gridCol w:w="1261"/>
        <w:gridCol w:w="1261"/>
      </w:tblGrid>
      <w:tr w:rsidR="00843B42" w:rsidRPr="001A0CF5" w:rsidTr="001B14F8">
        <w:trPr>
          <w:trHeight w:val="1091"/>
          <w:jc w:val="center"/>
        </w:trPr>
        <w:tc>
          <w:tcPr>
            <w:tcW w:w="134" w:type="pct"/>
            <w:noWrap/>
            <w:vAlign w:val="center"/>
            <w:hideMark/>
          </w:tcPr>
          <w:p w:rsidR="00843B42" w:rsidRPr="001A0CF5" w:rsidRDefault="00843B42" w:rsidP="001B14F8">
            <w:pPr>
              <w:spacing w:after="0" w:line="240" w:lineRule="auto"/>
              <w:jc w:val="both"/>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w:t>
            </w:r>
          </w:p>
        </w:tc>
        <w:tc>
          <w:tcPr>
            <w:tcW w:w="791" w:type="pct"/>
            <w:vAlign w:val="center"/>
            <w:hideMark/>
          </w:tcPr>
          <w:p w:rsidR="00843B42" w:rsidRPr="001A0CF5" w:rsidRDefault="00843B42" w:rsidP="001B14F8">
            <w:pPr>
              <w:spacing w:after="0" w:line="240" w:lineRule="auto"/>
              <w:jc w:val="center"/>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Наименование Товара</w:t>
            </w:r>
          </w:p>
        </w:tc>
        <w:tc>
          <w:tcPr>
            <w:tcW w:w="1471" w:type="pct"/>
            <w:vAlign w:val="center"/>
            <w:hideMark/>
          </w:tcPr>
          <w:p w:rsidR="00843B42" w:rsidRPr="001A0CF5" w:rsidRDefault="00843B42" w:rsidP="001B14F8">
            <w:pPr>
              <w:spacing w:after="0" w:line="240" w:lineRule="auto"/>
              <w:jc w:val="center"/>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Технические характеристики</w:t>
            </w:r>
          </w:p>
        </w:tc>
        <w:tc>
          <w:tcPr>
            <w:tcW w:w="453" w:type="pct"/>
            <w:vAlign w:val="center"/>
            <w:hideMark/>
          </w:tcPr>
          <w:p w:rsidR="00843B42" w:rsidRPr="001A0CF5" w:rsidRDefault="00843B42" w:rsidP="001B14F8">
            <w:pPr>
              <w:spacing w:after="0" w:line="240" w:lineRule="auto"/>
              <w:jc w:val="center"/>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Код ОКПД2</w:t>
            </w:r>
            <w:r w:rsidRPr="001A0CF5">
              <w:rPr>
                <w:rFonts w:ascii="Times New Roman" w:eastAsia="Times New Roman" w:hAnsi="Times New Roman" w:cs="Times New Roman"/>
                <w:lang w:val="en-US" w:eastAsia="ru-RU"/>
              </w:rPr>
              <w:t>/</w:t>
            </w:r>
          </w:p>
          <w:p w:rsidR="00843B42" w:rsidRPr="001A0CF5" w:rsidRDefault="00843B42" w:rsidP="001B14F8">
            <w:pPr>
              <w:spacing w:after="0" w:line="240" w:lineRule="auto"/>
              <w:jc w:val="center"/>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КТРУ</w:t>
            </w:r>
          </w:p>
        </w:tc>
        <w:tc>
          <w:tcPr>
            <w:tcW w:w="266" w:type="pct"/>
            <w:vAlign w:val="center"/>
            <w:hideMark/>
          </w:tcPr>
          <w:p w:rsidR="00843B42" w:rsidRPr="001A0CF5" w:rsidRDefault="00843B42" w:rsidP="001B14F8">
            <w:pPr>
              <w:spacing w:after="0" w:line="240" w:lineRule="auto"/>
              <w:jc w:val="center"/>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Ед. изм.</w:t>
            </w:r>
          </w:p>
        </w:tc>
        <w:tc>
          <w:tcPr>
            <w:tcW w:w="280" w:type="pct"/>
            <w:vAlign w:val="center"/>
            <w:hideMark/>
          </w:tcPr>
          <w:p w:rsidR="00843B42" w:rsidRPr="001A0CF5" w:rsidRDefault="00843B42" w:rsidP="001B14F8">
            <w:pPr>
              <w:spacing w:after="0" w:line="240" w:lineRule="auto"/>
              <w:jc w:val="center"/>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Кол-во</w:t>
            </w:r>
          </w:p>
        </w:tc>
        <w:tc>
          <w:tcPr>
            <w:tcW w:w="529" w:type="pct"/>
            <w:shd w:val="clear" w:color="auto" w:fill="FFFF00"/>
            <w:vAlign w:val="center"/>
            <w:hideMark/>
          </w:tcPr>
          <w:p w:rsidR="00843B42" w:rsidRPr="001A0CF5" w:rsidRDefault="00843B42" w:rsidP="001B14F8">
            <w:pPr>
              <w:spacing w:after="0" w:line="240" w:lineRule="auto"/>
              <w:jc w:val="center"/>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Страна происхождения</w:t>
            </w:r>
          </w:p>
        </w:tc>
        <w:tc>
          <w:tcPr>
            <w:tcW w:w="285" w:type="pct"/>
            <w:shd w:val="clear" w:color="000000" w:fill="FFFF00"/>
            <w:noWrap/>
            <w:vAlign w:val="center"/>
            <w:hideMark/>
          </w:tcPr>
          <w:p w:rsidR="00843B42" w:rsidRPr="001A0CF5" w:rsidRDefault="00843B42" w:rsidP="001B14F8">
            <w:pPr>
              <w:spacing w:after="0" w:line="240" w:lineRule="auto"/>
              <w:jc w:val="both"/>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НДС %</w:t>
            </w:r>
          </w:p>
        </w:tc>
        <w:tc>
          <w:tcPr>
            <w:tcW w:w="395" w:type="pct"/>
            <w:shd w:val="clear" w:color="000000" w:fill="FFFF00"/>
            <w:noWrap/>
            <w:vAlign w:val="center"/>
            <w:hideMark/>
          </w:tcPr>
          <w:p w:rsidR="00843B42" w:rsidRPr="001A0CF5" w:rsidRDefault="00843B42" w:rsidP="001B14F8">
            <w:pPr>
              <w:spacing w:after="0" w:line="240" w:lineRule="auto"/>
              <w:jc w:val="both"/>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 xml:space="preserve">Цена за ед. </w:t>
            </w:r>
          </w:p>
          <w:p w:rsidR="00843B42" w:rsidRPr="001A0CF5" w:rsidRDefault="00843B42" w:rsidP="001B14F8">
            <w:pPr>
              <w:spacing w:after="0" w:line="240" w:lineRule="auto"/>
              <w:jc w:val="both"/>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 xml:space="preserve">Товара без </w:t>
            </w:r>
          </w:p>
          <w:p w:rsidR="00843B42" w:rsidRPr="001A0CF5" w:rsidRDefault="00843B42" w:rsidP="001B14F8">
            <w:pPr>
              <w:spacing w:after="0" w:line="240" w:lineRule="auto"/>
              <w:jc w:val="both"/>
              <w:rPr>
                <w:rFonts w:ascii="Times New Roman" w:eastAsia="Times New Roman" w:hAnsi="Times New Roman" w:cs="Times New Roman"/>
                <w:lang w:eastAsia="ru-RU"/>
              </w:rPr>
            </w:pPr>
            <w:r w:rsidRPr="001A0CF5">
              <w:rPr>
                <w:rFonts w:ascii="Times New Roman" w:eastAsia="Times New Roman" w:hAnsi="Times New Roman" w:cs="Times New Roman"/>
                <w:lang w:eastAsia="ru-RU"/>
              </w:rPr>
              <w:t>НДС (руб.)</w:t>
            </w:r>
          </w:p>
        </w:tc>
        <w:tc>
          <w:tcPr>
            <w:tcW w:w="395" w:type="pct"/>
            <w:shd w:val="clear" w:color="000000" w:fill="FFFF00"/>
            <w:noWrap/>
            <w:vAlign w:val="center"/>
            <w:hideMark/>
          </w:tcPr>
          <w:p w:rsidR="00843B42" w:rsidRPr="001A0CF5" w:rsidRDefault="00843B42" w:rsidP="001B14F8">
            <w:pPr>
              <w:widowControl w:val="0"/>
              <w:autoSpaceDE w:val="0"/>
              <w:autoSpaceDN w:val="0"/>
              <w:adjustRightInd w:val="0"/>
              <w:spacing w:after="0" w:line="240" w:lineRule="auto"/>
              <w:jc w:val="center"/>
              <w:rPr>
                <w:rFonts w:ascii="Times New Roman" w:eastAsia="Times New Roman" w:hAnsi="Times New Roman" w:cs="Times New Roman"/>
              </w:rPr>
            </w:pPr>
            <w:r w:rsidRPr="001A0CF5">
              <w:rPr>
                <w:rFonts w:ascii="Times New Roman" w:eastAsia="Times New Roman" w:hAnsi="Times New Roman" w:cs="Times New Roman"/>
                <w:lang w:eastAsia="ru-RU"/>
              </w:rPr>
              <w:t> </w:t>
            </w:r>
            <w:r w:rsidRPr="001A0CF5">
              <w:rPr>
                <w:rFonts w:ascii="Times New Roman" w:eastAsia="Times New Roman" w:hAnsi="Times New Roman" w:cs="Times New Roman"/>
              </w:rPr>
              <w:t xml:space="preserve">Сумма без </w:t>
            </w:r>
          </w:p>
          <w:p w:rsidR="00843B42" w:rsidRPr="001A0CF5" w:rsidRDefault="00843B42" w:rsidP="001B14F8">
            <w:pPr>
              <w:spacing w:after="0" w:line="240" w:lineRule="auto"/>
              <w:jc w:val="both"/>
              <w:rPr>
                <w:rFonts w:ascii="Times New Roman" w:eastAsia="Times New Roman" w:hAnsi="Times New Roman" w:cs="Times New Roman"/>
                <w:lang w:eastAsia="ru-RU"/>
              </w:rPr>
            </w:pPr>
            <w:r w:rsidRPr="001A0CF5">
              <w:rPr>
                <w:rFonts w:ascii="Times New Roman" w:eastAsia="Times New Roman" w:hAnsi="Times New Roman" w:cs="Times New Roman"/>
              </w:rPr>
              <w:t>НДС (руб.)</w:t>
            </w:r>
          </w:p>
        </w:tc>
      </w:tr>
      <w:tr w:rsidR="00843B42" w:rsidRPr="001A0CF5" w:rsidTr="001B14F8">
        <w:trPr>
          <w:trHeight w:val="20"/>
          <w:jc w:val="center"/>
        </w:trPr>
        <w:tc>
          <w:tcPr>
            <w:tcW w:w="134" w:type="pct"/>
            <w:noWrap/>
          </w:tcPr>
          <w:p w:rsidR="00843B42" w:rsidRPr="001A0CF5" w:rsidRDefault="00843B42" w:rsidP="001B14F8">
            <w:pPr>
              <w:spacing w:after="0" w:line="240" w:lineRule="auto"/>
              <w:jc w:val="center"/>
              <w:rPr>
                <w:rFonts w:ascii="Times New Roman" w:eastAsia="Times New Roman" w:hAnsi="Times New Roman" w:cs="Times New Roman"/>
                <w:b/>
                <w:bCs/>
                <w:color w:val="000000"/>
              </w:rPr>
            </w:pPr>
            <w:r w:rsidRPr="001A0CF5">
              <w:rPr>
                <w:rFonts w:ascii="Times New Roman" w:eastAsia="Times New Roman" w:hAnsi="Times New Roman" w:cs="Times New Roman"/>
                <w:b/>
                <w:bCs/>
                <w:color w:val="000000"/>
              </w:rPr>
              <w:t>1</w:t>
            </w:r>
          </w:p>
        </w:tc>
        <w:tc>
          <w:tcPr>
            <w:tcW w:w="791"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Индикатор биологический для контроля стерилизации</w:t>
            </w:r>
          </w:p>
          <w:p w:rsidR="00843B42" w:rsidRPr="001A0CF5" w:rsidRDefault="00843B42" w:rsidP="001B14F8">
            <w:pPr>
              <w:spacing w:line="240" w:lineRule="auto"/>
              <w:jc w:val="center"/>
              <w:rPr>
                <w:rFonts w:ascii="Times New Roman" w:eastAsia="Times New Roman" w:hAnsi="Times New Roman" w:cs="Times New Roman"/>
                <w:b/>
                <w:bCs/>
              </w:rPr>
            </w:pPr>
          </w:p>
        </w:tc>
        <w:tc>
          <w:tcPr>
            <w:tcW w:w="1471" w:type="pct"/>
          </w:tcPr>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bCs/>
              </w:rPr>
              <w:t>Назначение: предназначен для валидации и оценки эффективности процесса стерилизации парами перекиси водорода (плазменной стерилизации).</w:t>
            </w:r>
            <w:r>
              <w:rPr>
                <w:rFonts w:ascii="Times New Roman" w:eastAsia="Times New Roman" w:hAnsi="Times New Roman" w:cs="Times New Roman"/>
                <w:bCs/>
              </w:rPr>
              <w:t xml:space="preserve"> </w:t>
            </w:r>
            <w:r w:rsidRPr="001A0CF5">
              <w:rPr>
                <w:rFonts w:ascii="Times New Roman" w:eastAsia="Times New Roman" w:hAnsi="Times New Roman" w:cs="Times New Roman"/>
              </w:rPr>
              <w:t>Применение индикаторов позволяет выявить неэффективную стерилизацию, обусловленную технической неисправностью стерилизаторов, нарушением правил их загрузки и/или эксплуатации, ошибкой в установке значений параметров или их сбоем. Основные характеристики: индикатор должен представлять собой пластиковую пробирку, на дно которой помещены высушенные споры тест-микроорганизма. Внутри пластиковой пробирки должна быть размещена стеклянная ампула, содержащая стерильную индикаторную среду. Пластиковая пробирка должна быть закрыта колпачком, имеющим отверстия. Между колпачком и пробиркой должен быть размещен бактериальный фильтр, защищающий содержимое индикатора от контаминации, но не препятствующий проникновению стерилизующего агента. На этикетку с маркировкой индикатора должен быть нанесен химический индикатор 1 класса, позволяющий отличить биологические индикаторы, прошедшие стерилизацию от индикаторов, не обработанных в стерилизаторе. Индикатор биологический должен соответствовать ГОСТ ISO 11138-1-2012.</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Вид микроорганизма: </w:t>
            </w:r>
            <w:r w:rsidRPr="001A0CF5">
              <w:rPr>
                <w:rFonts w:ascii="Times New Roman" w:eastAsia="Times New Roman" w:hAnsi="Times New Roman" w:cs="Times New Roman"/>
                <w:lang w:val="en-US"/>
              </w:rPr>
              <w:t>Geobacillus</w:t>
            </w:r>
            <w:r w:rsidRPr="001A0CF5">
              <w:rPr>
                <w:rFonts w:ascii="Times New Roman" w:eastAsia="Times New Roman" w:hAnsi="Times New Roman" w:cs="Times New Roman"/>
              </w:rPr>
              <w:t xml:space="preserve"> </w:t>
            </w:r>
            <w:r w:rsidRPr="001A0CF5">
              <w:rPr>
                <w:rFonts w:ascii="Times New Roman" w:eastAsia="Times New Roman" w:hAnsi="Times New Roman" w:cs="Times New Roman"/>
                <w:lang w:val="en-US"/>
              </w:rPr>
              <w:t>stearother</w:t>
            </w:r>
            <w:r w:rsidRPr="001A0CF5">
              <w:rPr>
                <w:rFonts w:ascii="Times New Roman" w:eastAsia="Times New Roman" w:hAnsi="Times New Roman" w:cs="Times New Roman"/>
              </w:rPr>
              <w:t>-</w:t>
            </w:r>
            <w:r w:rsidRPr="001A0CF5">
              <w:rPr>
                <w:rFonts w:ascii="Times New Roman" w:eastAsia="Times New Roman" w:hAnsi="Times New Roman" w:cs="Times New Roman"/>
                <w:lang w:val="en-US"/>
              </w:rPr>
              <w:t>mophilus</w:t>
            </w:r>
            <w:r w:rsidRPr="001A0CF5">
              <w:rPr>
                <w:rFonts w:ascii="Times New Roman" w:eastAsia="Times New Roman" w:hAnsi="Times New Roman" w:cs="Times New Roman"/>
              </w:rPr>
              <w:t xml:space="preserve"> ВКМ В-718. </w:t>
            </w:r>
          </w:p>
          <w:p w:rsidR="00843B42" w:rsidRPr="001A0CF5" w:rsidRDefault="00843B42" w:rsidP="001B14F8">
            <w:pPr>
              <w:spacing w:after="0" w:line="240" w:lineRule="auto"/>
              <w:rPr>
                <w:rFonts w:ascii="Times New Roman" w:eastAsia="Times New Roman" w:hAnsi="Times New Roman" w:cs="Times New Roman"/>
                <w:vertAlign w:val="superscript"/>
              </w:rPr>
            </w:pPr>
            <w:r w:rsidRPr="001A0CF5">
              <w:rPr>
                <w:rFonts w:ascii="Times New Roman" w:eastAsia="Times New Roman" w:hAnsi="Times New Roman" w:cs="Times New Roman"/>
              </w:rPr>
              <w:t>Количество спор – не менее n*10</w:t>
            </w:r>
            <w:r w:rsidRPr="001A0CF5">
              <w:rPr>
                <w:rFonts w:ascii="Times New Roman" w:eastAsia="Times New Roman" w:hAnsi="Times New Roman" w:cs="Times New Roman"/>
                <w:vertAlign w:val="superscript"/>
              </w:rPr>
              <w:t>6.</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Температура инкубации не менее 55±2 °С</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Время инкубации не более 72 часов.</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Комплектность: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1.Индикатор биологический – не менее 24 шт.,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2. Ломатель – не менее 1шт.</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3. Инструкция – не менее 1шт.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4. Потребительская упаковка – не менее 1шт.</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Параметры режима стерилизации: Все режимы стерилизации парами перекиси водорода стерилизатора</w:t>
            </w:r>
            <w:r w:rsidRPr="001A0CF5">
              <w:rPr>
                <w:rFonts w:ascii="Times New Roman" w:eastAsia="Times New Roman" w:hAnsi="Times New Roman" w:cs="Times New Roman"/>
                <w:b/>
              </w:rPr>
              <w:t>.</w:t>
            </w:r>
            <w:r w:rsidRPr="001A0CF5">
              <w:rPr>
                <w:rFonts w:ascii="Times New Roman" w:eastAsia="Times New Roman" w:hAnsi="Times New Roman" w:cs="Times New Roman"/>
              </w:rPr>
              <w:t>Наименование и реквизиты предприятия-изготовителя должны быть указаны на упаковке комплекта. Экологичность: индикатор не должен оказывать вредного воздействия на человека и окружающую среду, не требует соблюдения особых мер безопасности и может утилизироваться как безопасные медицинские отходы класса А.</w:t>
            </w:r>
          </w:p>
        </w:tc>
        <w:tc>
          <w:tcPr>
            <w:tcW w:w="453"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32.50.50.190-00001036*</w:t>
            </w:r>
          </w:p>
        </w:tc>
        <w:tc>
          <w:tcPr>
            <w:tcW w:w="266" w:type="pct"/>
            <w:noWrap/>
          </w:tcPr>
          <w:p w:rsidR="00843B42" w:rsidRPr="001A0CF5" w:rsidRDefault="00843B42" w:rsidP="001B14F8">
            <w:pPr>
              <w:spacing w:line="240" w:lineRule="auto"/>
              <w:jc w:val="center"/>
              <w:rPr>
                <w:rFonts w:ascii="Times New Roman" w:eastAsia="Times New Roman" w:hAnsi="Times New Roman" w:cs="Times New Roman"/>
                <w:b/>
                <w:bCs/>
              </w:rPr>
            </w:pPr>
            <w:r w:rsidRPr="001A0CF5">
              <w:rPr>
                <w:rFonts w:ascii="Times New Roman" w:eastAsia="Times New Roman" w:hAnsi="Times New Roman" w:cs="Times New Roman"/>
              </w:rPr>
              <w:t>Штука</w:t>
            </w:r>
          </w:p>
        </w:tc>
        <w:tc>
          <w:tcPr>
            <w:tcW w:w="280" w:type="pct"/>
            <w:noWrap/>
          </w:tcPr>
          <w:p w:rsidR="00843B42" w:rsidRPr="001A0CF5" w:rsidRDefault="00843B42" w:rsidP="001B14F8">
            <w:pPr>
              <w:spacing w:line="240" w:lineRule="auto"/>
              <w:jc w:val="center"/>
              <w:rPr>
                <w:rFonts w:ascii="Times New Roman" w:eastAsia="Times New Roman" w:hAnsi="Times New Roman" w:cs="Times New Roman"/>
                <w:b/>
                <w:bCs/>
              </w:rPr>
            </w:pPr>
            <w:r>
              <w:rPr>
                <w:rFonts w:ascii="Times New Roman" w:eastAsia="Times New Roman" w:hAnsi="Times New Roman" w:cs="Times New Roman"/>
              </w:rPr>
              <w:t>25</w:t>
            </w:r>
          </w:p>
        </w:tc>
        <w:tc>
          <w:tcPr>
            <w:tcW w:w="529" w:type="pct"/>
            <w:shd w:val="clear" w:color="auto" w:fill="FFFF00"/>
            <w:noWrap/>
            <w:vAlign w:val="center"/>
          </w:tcPr>
          <w:p w:rsidR="00843B42" w:rsidRPr="001A0CF5" w:rsidRDefault="00843B42" w:rsidP="001B14F8">
            <w:pPr>
              <w:spacing w:after="0" w:line="240" w:lineRule="auto"/>
              <w:jc w:val="center"/>
              <w:rPr>
                <w:rFonts w:ascii="Times New Roman" w:eastAsia="Times New Roman" w:hAnsi="Times New Roman" w:cs="Times New Roman"/>
                <w:color w:val="000000"/>
              </w:rPr>
            </w:pPr>
          </w:p>
        </w:tc>
        <w:tc>
          <w:tcPr>
            <w:tcW w:w="285" w:type="pct"/>
            <w:shd w:val="clear" w:color="auto"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auto"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auto"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r>
      <w:tr w:rsidR="00843B42" w:rsidRPr="001A0CF5" w:rsidTr="001B14F8">
        <w:trPr>
          <w:trHeight w:val="20"/>
          <w:jc w:val="center"/>
        </w:trPr>
        <w:tc>
          <w:tcPr>
            <w:tcW w:w="134" w:type="pct"/>
            <w:noWrap/>
          </w:tcPr>
          <w:p w:rsidR="00843B42" w:rsidRPr="001A0CF5" w:rsidRDefault="00843B42" w:rsidP="001B14F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791"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Упаковка для стерилизации, одноразового использования</w:t>
            </w:r>
          </w:p>
          <w:p w:rsidR="00843B42" w:rsidRPr="001A0CF5" w:rsidRDefault="00843B42" w:rsidP="001B14F8">
            <w:pPr>
              <w:spacing w:line="240" w:lineRule="auto"/>
              <w:jc w:val="center"/>
              <w:rPr>
                <w:rFonts w:ascii="Times New Roman" w:eastAsia="Times New Roman" w:hAnsi="Times New Roman" w:cs="Times New Roman"/>
                <w:b/>
                <w:bCs/>
              </w:rPr>
            </w:pPr>
          </w:p>
        </w:tc>
        <w:tc>
          <w:tcPr>
            <w:tcW w:w="1471" w:type="pct"/>
          </w:tcPr>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Рулон комбинированный должен быть предназначен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соответствовать требованиям национального стандарта Российской Федерации  ГОСТ ISO 11607-2018.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Рулон должен представлять собой комбинацию из нетканого материала, состоящего из волокон полиэтилена высокой плотности и многослойной полиэтилентерефталаной пленки толщиной не менее 52мкм и не более 56мкм, которые соединены между собой термическим швом. Величина сварного шва должна быть не менее 10 мм. На лицевой стороне рулона вдоль шва должны быть нанесены все необходимые надписи (торговая марка, логотип фирмы-производителя, размер рулона, а также химические индикаторы пероксид водородной стерилизации 1 класса (свидетели), которые должны соответствовать национальному стандарту  ГОСТ ISO 11140-1-2011, с указанием конечного цвета после стерилизации. Индикаторы свидетели должны позволять отличить упаковки из рулонов, подвергшиеся стерилизации от не подвергавшихся.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При вскрытии упаковок (рулонов), изготовленных из рулонов, пленка от нетканого полотна должна отделяться с минимальным пылеворсовыделением.</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b/>
              </w:rPr>
              <w:t>Размер рулона ширина – 200мм+/-5мм длина –100м.</w:t>
            </w:r>
            <w:r w:rsidRPr="001A0CF5">
              <w:rPr>
                <w:rFonts w:ascii="Times New Roman" w:eastAsia="Times New Roman" w:hAnsi="Times New Roman" w:cs="Times New Roman"/>
              </w:rPr>
              <w:t xml:space="preserve"> </w:t>
            </w:r>
          </w:p>
          <w:p w:rsidR="00843B42" w:rsidRPr="001A0CF5" w:rsidRDefault="00843B42" w:rsidP="001B14F8">
            <w:pPr>
              <w:spacing w:line="240" w:lineRule="auto"/>
              <w:rPr>
                <w:rFonts w:ascii="Times New Roman" w:eastAsia="Times New Roman" w:hAnsi="Times New Roman" w:cs="Times New Roman"/>
                <w:b/>
                <w:bCs/>
              </w:rPr>
            </w:pPr>
          </w:p>
        </w:tc>
        <w:tc>
          <w:tcPr>
            <w:tcW w:w="453"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32.50.50.190-00000337*</w:t>
            </w:r>
          </w:p>
        </w:tc>
        <w:tc>
          <w:tcPr>
            <w:tcW w:w="266" w:type="pct"/>
            <w:noWrap/>
          </w:tcPr>
          <w:p w:rsidR="00843B42" w:rsidRPr="001A0CF5" w:rsidRDefault="00843B42" w:rsidP="001B14F8">
            <w:pPr>
              <w:spacing w:line="240" w:lineRule="auto"/>
              <w:jc w:val="center"/>
              <w:rPr>
                <w:rFonts w:ascii="Times New Roman" w:eastAsia="Times New Roman" w:hAnsi="Times New Roman" w:cs="Times New Roman"/>
                <w:b/>
                <w:bCs/>
              </w:rPr>
            </w:pPr>
            <w:r w:rsidRPr="001A0CF5">
              <w:rPr>
                <w:rFonts w:ascii="Times New Roman" w:eastAsia="Times New Roman" w:hAnsi="Times New Roman" w:cs="Times New Roman"/>
              </w:rPr>
              <w:t>Штука</w:t>
            </w:r>
          </w:p>
        </w:tc>
        <w:tc>
          <w:tcPr>
            <w:tcW w:w="280" w:type="pct"/>
            <w:noWrap/>
          </w:tcPr>
          <w:p w:rsidR="00843B42" w:rsidRPr="001A0CF5" w:rsidRDefault="00843B42" w:rsidP="001B14F8">
            <w:pPr>
              <w:spacing w:line="240" w:lineRule="auto"/>
              <w:jc w:val="center"/>
              <w:rPr>
                <w:rFonts w:ascii="Times New Roman" w:eastAsia="Times New Roman" w:hAnsi="Times New Roman" w:cs="Times New Roman"/>
                <w:b/>
                <w:bCs/>
              </w:rPr>
            </w:pPr>
            <w:r>
              <w:rPr>
                <w:rFonts w:ascii="Times New Roman" w:eastAsia="Times New Roman" w:hAnsi="Times New Roman" w:cs="Times New Roman"/>
              </w:rPr>
              <w:t>5</w:t>
            </w:r>
          </w:p>
        </w:tc>
        <w:tc>
          <w:tcPr>
            <w:tcW w:w="529" w:type="pct"/>
            <w:shd w:val="clear" w:color="auto" w:fill="FFFF00"/>
            <w:noWrap/>
            <w:vAlign w:val="center"/>
          </w:tcPr>
          <w:p w:rsidR="00843B42" w:rsidRPr="001A0CF5" w:rsidRDefault="00843B42" w:rsidP="001B14F8">
            <w:pPr>
              <w:spacing w:after="0" w:line="240" w:lineRule="auto"/>
              <w:jc w:val="center"/>
              <w:rPr>
                <w:rFonts w:ascii="Times New Roman" w:eastAsia="Times New Roman" w:hAnsi="Times New Roman" w:cs="Times New Roman"/>
                <w:color w:val="000000"/>
              </w:rPr>
            </w:pPr>
          </w:p>
        </w:tc>
        <w:tc>
          <w:tcPr>
            <w:tcW w:w="28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r>
      <w:tr w:rsidR="00843B42" w:rsidRPr="001A0CF5" w:rsidTr="001B14F8">
        <w:trPr>
          <w:trHeight w:val="20"/>
          <w:jc w:val="center"/>
        </w:trPr>
        <w:tc>
          <w:tcPr>
            <w:tcW w:w="134" w:type="pct"/>
            <w:noWrap/>
          </w:tcPr>
          <w:p w:rsidR="00843B42" w:rsidRPr="001A0CF5" w:rsidRDefault="00843B42" w:rsidP="001B14F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w:t>
            </w:r>
          </w:p>
        </w:tc>
        <w:tc>
          <w:tcPr>
            <w:tcW w:w="791"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Упаковка для стерилизации, одноразового использования</w:t>
            </w:r>
          </w:p>
          <w:p w:rsidR="00843B42" w:rsidRPr="001A0CF5" w:rsidRDefault="00843B42" w:rsidP="001B14F8">
            <w:pPr>
              <w:spacing w:line="240" w:lineRule="auto"/>
              <w:jc w:val="center"/>
              <w:rPr>
                <w:rFonts w:ascii="Times New Roman" w:eastAsia="Times New Roman" w:hAnsi="Times New Roman" w:cs="Times New Roman"/>
                <w:b/>
                <w:bCs/>
              </w:rPr>
            </w:pPr>
          </w:p>
        </w:tc>
        <w:tc>
          <w:tcPr>
            <w:tcW w:w="1471" w:type="pct"/>
          </w:tcPr>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Рулон комбинированный должен быть предназначен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соответствовать требованиям национального стандарта Российской Федерации ГОСТ ISO 11607-2018.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Рулон должен представлять собой комбинацию из нетканого материала, состоящего из волокон полиэтилена высокой плотности и многослойной полиэтилентерефталаной пленки толщиной не менее 52мкм и не более 56мкм, которые соединены между собой термическим швом. Величина сварного шва должна быть не менее 10 мм. На лицевой стороне рулона вдоль шва должны быть нанесены все необходимые надписи (торговая марка, логотип фирмы-производителя, размер рулона, а также химические индикаторы пероксид водородной стерилизации 1 класса (свидетели), которые должны соответствовать национальному стандарту</w:t>
            </w:r>
            <w:r>
              <w:rPr>
                <w:rFonts w:ascii="Times New Roman" w:eastAsia="Times New Roman" w:hAnsi="Times New Roman" w:cs="Times New Roman"/>
              </w:rPr>
              <w:t xml:space="preserve"> </w:t>
            </w:r>
            <w:r w:rsidRPr="001A0CF5">
              <w:rPr>
                <w:rFonts w:ascii="Times New Roman" w:eastAsia="Times New Roman" w:hAnsi="Times New Roman" w:cs="Times New Roman"/>
              </w:rPr>
              <w:t xml:space="preserve">ГОСТ ISO 11140-1-2011, с указанием конечного цвета после стерилизации. Индикаторы свидетели должны позволять отличить упаковки из рулонов, подвергшиеся стерилизации от не подвергавшихся.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При вскрытии упаковок (рулонов), изготовленных из рулонов, пленка от нетканого полотна должна отделяться с минимальным пылеворсовыделением.</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b/>
              </w:rPr>
              <w:t>Размер рулона ширина – 300мм+/-5мм длина –70м.</w:t>
            </w:r>
            <w:r w:rsidRPr="001A0CF5">
              <w:rPr>
                <w:rFonts w:ascii="Times New Roman" w:eastAsia="Times New Roman" w:hAnsi="Times New Roman" w:cs="Times New Roman"/>
              </w:rPr>
              <w:t xml:space="preserve"> </w:t>
            </w:r>
          </w:p>
          <w:p w:rsidR="00843B42" w:rsidRPr="001A0CF5" w:rsidRDefault="00843B42" w:rsidP="001B14F8">
            <w:pPr>
              <w:spacing w:line="240" w:lineRule="auto"/>
              <w:rPr>
                <w:rFonts w:ascii="Times New Roman" w:eastAsia="Times New Roman" w:hAnsi="Times New Roman" w:cs="Times New Roman"/>
                <w:b/>
                <w:bCs/>
              </w:rPr>
            </w:pPr>
          </w:p>
        </w:tc>
        <w:tc>
          <w:tcPr>
            <w:tcW w:w="453"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32.50.50.190-00000337*</w:t>
            </w:r>
          </w:p>
        </w:tc>
        <w:tc>
          <w:tcPr>
            <w:tcW w:w="266" w:type="pct"/>
            <w:noWrap/>
          </w:tcPr>
          <w:p w:rsidR="00843B42" w:rsidRPr="001A0CF5" w:rsidRDefault="00843B42" w:rsidP="001B14F8">
            <w:pPr>
              <w:spacing w:line="240" w:lineRule="auto"/>
              <w:jc w:val="center"/>
              <w:rPr>
                <w:rFonts w:ascii="Times New Roman" w:eastAsia="Times New Roman" w:hAnsi="Times New Roman" w:cs="Times New Roman"/>
                <w:b/>
                <w:bCs/>
              </w:rPr>
            </w:pPr>
            <w:r w:rsidRPr="001A0CF5">
              <w:rPr>
                <w:rFonts w:ascii="Times New Roman" w:eastAsia="Times New Roman" w:hAnsi="Times New Roman" w:cs="Times New Roman"/>
              </w:rPr>
              <w:t>Штука</w:t>
            </w:r>
          </w:p>
        </w:tc>
        <w:tc>
          <w:tcPr>
            <w:tcW w:w="280" w:type="pct"/>
            <w:noWrap/>
          </w:tcPr>
          <w:p w:rsidR="00843B42" w:rsidRPr="001A0CF5" w:rsidRDefault="00843B42" w:rsidP="001B14F8">
            <w:pPr>
              <w:spacing w:line="240" w:lineRule="auto"/>
              <w:jc w:val="center"/>
              <w:rPr>
                <w:rFonts w:ascii="Times New Roman" w:eastAsia="Times New Roman" w:hAnsi="Times New Roman" w:cs="Times New Roman"/>
                <w:b/>
                <w:bCs/>
              </w:rPr>
            </w:pPr>
            <w:r>
              <w:rPr>
                <w:rFonts w:ascii="Times New Roman" w:eastAsia="Times New Roman" w:hAnsi="Times New Roman" w:cs="Times New Roman"/>
              </w:rPr>
              <w:t>8</w:t>
            </w:r>
          </w:p>
        </w:tc>
        <w:tc>
          <w:tcPr>
            <w:tcW w:w="529" w:type="pct"/>
            <w:shd w:val="clear" w:color="auto" w:fill="FFFF00"/>
            <w:noWrap/>
            <w:vAlign w:val="center"/>
          </w:tcPr>
          <w:p w:rsidR="00843B42" w:rsidRPr="001A0CF5" w:rsidRDefault="00843B42" w:rsidP="001B14F8">
            <w:pPr>
              <w:spacing w:after="0" w:line="240" w:lineRule="auto"/>
              <w:jc w:val="center"/>
              <w:rPr>
                <w:rFonts w:ascii="Times New Roman" w:eastAsia="Times New Roman" w:hAnsi="Times New Roman" w:cs="Times New Roman"/>
                <w:color w:val="000000"/>
              </w:rPr>
            </w:pPr>
          </w:p>
        </w:tc>
        <w:tc>
          <w:tcPr>
            <w:tcW w:w="28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r>
      <w:tr w:rsidR="00843B42" w:rsidRPr="001A0CF5" w:rsidTr="001B14F8">
        <w:trPr>
          <w:trHeight w:val="20"/>
          <w:jc w:val="center"/>
        </w:trPr>
        <w:tc>
          <w:tcPr>
            <w:tcW w:w="134" w:type="pct"/>
            <w:noWrap/>
          </w:tcPr>
          <w:p w:rsidR="00843B42" w:rsidRPr="001A0CF5" w:rsidRDefault="00843B42" w:rsidP="001B14F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4</w:t>
            </w:r>
          </w:p>
        </w:tc>
        <w:tc>
          <w:tcPr>
            <w:tcW w:w="791"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Упаковка для стерилизации, одноразового использования</w:t>
            </w:r>
          </w:p>
          <w:p w:rsidR="00843B42" w:rsidRPr="001A0CF5" w:rsidRDefault="00843B42" w:rsidP="001B14F8">
            <w:pPr>
              <w:spacing w:line="240" w:lineRule="auto"/>
              <w:jc w:val="center"/>
              <w:rPr>
                <w:rFonts w:ascii="Times New Roman" w:eastAsia="Times New Roman" w:hAnsi="Times New Roman" w:cs="Times New Roman"/>
                <w:b/>
                <w:bCs/>
              </w:rPr>
            </w:pPr>
          </w:p>
        </w:tc>
        <w:tc>
          <w:tcPr>
            <w:tcW w:w="1471" w:type="pct"/>
          </w:tcPr>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 xml:space="preserve">Рулон комбинированный должен быть предназначен для упаковывания медицинских изделий перед стерилизацией парами перекиси водорода, с целью сохранения стерильности этих изделий после стерилизации во время последующей их транспортировки и хранения до использования по назначению. Рулоны должны соответствовать требованиям национального стандарта Российской Федерации  ГОСТ ISO 11607-2018.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Рулон должен представлять собой комбинацию из нетканого материала, состоящего из волокон полиэтилена высокой плотности и многослойной полиэтилентерефталаной пленки толщиной не менее 52мкм и не более 56мкм, которые соединены между собой термическим швом. Величина сварного шва должна быть не менее 10 мм. На лицевой стороне рулона вдоль шва должны быть нанесены все необходимые надписи (торговая марка, логотип фирмы-производителя, размер рулона, а также химические индикаторы пероксид водородной стерилизации 1 класса (свидетели), которые должны соответст</w:t>
            </w:r>
            <w:r>
              <w:rPr>
                <w:rFonts w:ascii="Times New Roman" w:eastAsia="Times New Roman" w:hAnsi="Times New Roman" w:cs="Times New Roman"/>
              </w:rPr>
              <w:t xml:space="preserve">вовать национальному стандарту </w:t>
            </w:r>
            <w:r w:rsidRPr="001A0CF5">
              <w:rPr>
                <w:rFonts w:ascii="Times New Roman" w:eastAsia="Times New Roman" w:hAnsi="Times New Roman" w:cs="Times New Roman"/>
              </w:rPr>
              <w:t xml:space="preserve">ГОСТ ISO 11140-1-2011, с указанием конечного цвета после стерилизации. Индикаторы свидетели должны позволять отличить упаковки из рулонов, подвергшиеся стерилизации от не подвергавшихся. </w:t>
            </w:r>
          </w:p>
          <w:p w:rsidR="00843B42" w:rsidRPr="001A0CF5" w:rsidRDefault="00843B42" w:rsidP="001B14F8">
            <w:pPr>
              <w:spacing w:after="0" w:line="240" w:lineRule="auto"/>
              <w:rPr>
                <w:rFonts w:ascii="Times New Roman" w:eastAsia="Times New Roman" w:hAnsi="Times New Roman" w:cs="Times New Roman"/>
              </w:rPr>
            </w:pPr>
            <w:r w:rsidRPr="001A0CF5">
              <w:rPr>
                <w:rFonts w:ascii="Times New Roman" w:eastAsia="Times New Roman" w:hAnsi="Times New Roman" w:cs="Times New Roman"/>
              </w:rPr>
              <w:t>При вскрытии упаковок (рулонов), изготовленных из рулонов, пленка от нетканого полотна должна отделяться с минимальным пылеворсовыделением.</w:t>
            </w:r>
          </w:p>
          <w:p w:rsidR="00843B42" w:rsidRPr="001A0CF5" w:rsidRDefault="00843B42" w:rsidP="001B14F8">
            <w:pPr>
              <w:spacing w:after="0" w:line="240" w:lineRule="auto"/>
              <w:rPr>
                <w:rFonts w:ascii="Times New Roman" w:eastAsia="Times New Roman" w:hAnsi="Times New Roman" w:cs="Times New Roman"/>
                <w:b/>
                <w:bCs/>
              </w:rPr>
            </w:pPr>
            <w:r w:rsidRPr="001A0CF5">
              <w:rPr>
                <w:rFonts w:ascii="Times New Roman" w:eastAsia="Times New Roman" w:hAnsi="Times New Roman" w:cs="Times New Roman"/>
                <w:b/>
              </w:rPr>
              <w:t>Размер рулона ширина – 400мм+/-5мм длина –70м.</w:t>
            </w:r>
            <w:r w:rsidRPr="001A0CF5">
              <w:rPr>
                <w:rFonts w:ascii="Times New Roman" w:eastAsia="Times New Roman" w:hAnsi="Times New Roman" w:cs="Times New Roman"/>
              </w:rPr>
              <w:t xml:space="preserve"> </w:t>
            </w:r>
          </w:p>
        </w:tc>
        <w:tc>
          <w:tcPr>
            <w:tcW w:w="453" w:type="pct"/>
          </w:tcPr>
          <w:p w:rsidR="00843B42" w:rsidRPr="001A0CF5" w:rsidRDefault="00843B42" w:rsidP="001B14F8">
            <w:pPr>
              <w:spacing w:line="240" w:lineRule="auto"/>
              <w:jc w:val="center"/>
              <w:rPr>
                <w:rFonts w:ascii="Times New Roman" w:eastAsia="Times New Roman" w:hAnsi="Times New Roman" w:cs="Times New Roman"/>
              </w:rPr>
            </w:pPr>
            <w:r w:rsidRPr="001A0CF5">
              <w:rPr>
                <w:rFonts w:ascii="Times New Roman" w:eastAsia="Times New Roman" w:hAnsi="Times New Roman" w:cs="Times New Roman"/>
              </w:rPr>
              <w:t>32.50.50.190-00000337*</w:t>
            </w:r>
          </w:p>
        </w:tc>
        <w:tc>
          <w:tcPr>
            <w:tcW w:w="266" w:type="pct"/>
            <w:noWrap/>
          </w:tcPr>
          <w:p w:rsidR="00843B42" w:rsidRPr="001A0CF5" w:rsidRDefault="00843B42" w:rsidP="001B14F8">
            <w:pPr>
              <w:spacing w:line="240" w:lineRule="auto"/>
              <w:jc w:val="center"/>
              <w:rPr>
                <w:rFonts w:ascii="Times New Roman" w:eastAsia="Times New Roman" w:hAnsi="Times New Roman" w:cs="Times New Roman"/>
                <w:b/>
                <w:bCs/>
              </w:rPr>
            </w:pPr>
            <w:r w:rsidRPr="001A0CF5">
              <w:rPr>
                <w:rFonts w:ascii="Times New Roman" w:eastAsia="Times New Roman" w:hAnsi="Times New Roman" w:cs="Times New Roman"/>
              </w:rPr>
              <w:t>Штука</w:t>
            </w:r>
          </w:p>
        </w:tc>
        <w:tc>
          <w:tcPr>
            <w:tcW w:w="280" w:type="pct"/>
            <w:noWrap/>
          </w:tcPr>
          <w:p w:rsidR="00843B42" w:rsidRPr="001A0CF5" w:rsidRDefault="00843B42" w:rsidP="001B14F8">
            <w:pPr>
              <w:spacing w:line="240" w:lineRule="auto"/>
              <w:jc w:val="center"/>
              <w:rPr>
                <w:rFonts w:ascii="Times New Roman" w:eastAsia="Times New Roman" w:hAnsi="Times New Roman" w:cs="Times New Roman"/>
                <w:b/>
                <w:bCs/>
              </w:rPr>
            </w:pPr>
            <w:r>
              <w:rPr>
                <w:rFonts w:ascii="Times New Roman" w:eastAsia="Times New Roman" w:hAnsi="Times New Roman" w:cs="Times New Roman"/>
              </w:rPr>
              <w:t>14</w:t>
            </w:r>
          </w:p>
        </w:tc>
        <w:tc>
          <w:tcPr>
            <w:tcW w:w="529" w:type="pct"/>
            <w:shd w:val="clear" w:color="auto" w:fill="FFFF00"/>
            <w:noWrap/>
            <w:vAlign w:val="center"/>
          </w:tcPr>
          <w:p w:rsidR="00843B42" w:rsidRPr="001A0CF5" w:rsidRDefault="00843B42" w:rsidP="001B14F8">
            <w:pPr>
              <w:spacing w:after="0" w:line="240" w:lineRule="auto"/>
              <w:jc w:val="center"/>
              <w:rPr>
                <w:rFonts w:ascii="Times New Roman" w:eastAsia="Times New Roman" w:hAnsi="Times New Roman" w:cs="Times New Roman"/>
                <w:color w:val="000000"/>
              </w:rPr>
            </w:pPr>
          </w:p>
        </w:tc>
        <w:tc>
          <w:tcPr>
            <w:tcW w:w="28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c>
          <w:tcPr>
            <w:tcW w:w="395" w:type="pct"/>
            <w:shd w:val="clear" w:color="000000" w:fill="FFFF00"/>
            <w:noWrap/>
            <w:vAlign w:val="center"/>
          </w:tcPr>
          <w:p w:rsidR="00843B42" w:rsidRPr="001A0CF5" w:rsidRDefault="00843B42" w:rsidP="001B14F8">
            <w:pPr>
              <w:spacing w:after="0" w:line="240" w:lineRule="auto"/>
              <w:jc w:val="both"/>
              <w:rPr>
                <w:rFonts w:ascii="Times New Roman" w:eastAsia="Times New Roman" w:hAnsi="Times New Roman" w:cs="Times New Roman"/>
                <w:lang w:eastAsia="ru-RU"/>
              </w:rPr>
            </w:pPr>
          </w:p>
        </w:tc>
      </w:tr>
    </w:tbl>
    <w:p w:rsidR="00843B42" w:rsidRPr="001A0CF5" w:rsidRDefault="00843B42" w:rsidP="00843B42">
      <w:pPr>
        <w:rPr>
          <w:rFonts w:ascii="Times New Roman" w:eastAsia="Times New Roman" w:hAnsi="Times New Roman" w:cs="Times New Roman"/>
          <w:b/>
          <w:sz w:val="28"/>
          <w:szCs w:val="28"/>
        </w:rPr>
      </w:pPr>
      <w:r w:rsidRPr="001A0CF5">
        <w:rPr>
          <w:rFonts w:ascii="Times New Roman" w:eastAsia="Times New Roman" w:hAnsi="Times New Roman" w:cs="Times New Roman"/>
          <w:b/>
          <w:sz w:val="28"/>
          <w:szCs w:val="28"/>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843B42" w:rsidRDefault="00843B42" w:rsidP="00843B42">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843B42">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B0D" w:rsidRDefault="00D42B0D">
      <w:pPr>
        <w:spacing w:after="0" w:line="240" w:lineRule="auto"/>
      </w:pPr>
      <w:r>
        <w:separator/>
      </w:r>
    </w:p>
  </w:endnote>
  <w:endnote w:type="continuationSeparator" w:id="0">
    <w:p w:rsidR="00D42B0D" w:rsidRDefault="00D4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9462A" w:rsidRDefault="00C9462A">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C9462A">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9462A">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C9462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C9462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C9462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43B4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B0D" w:rsidRDefault="00D42B0D">
      <w:pPr>
        <w:spacing w:after="0" w:line="240" w:lineRule="auto"/>
      </w:pPr>
      <w:r>
        <w:separator/>
      </w:r>
    </w:p>
  </w:footnote>
  <w:footnote w:type="continuationSeparator" w:id="0">
    <w:p w:rsidR="00D42B0D" w:rsidRDefault="00D42B0D">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9462A" w:rsidRDefault="00C9462A">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9462A" w:rsidRDefault="00C9462A">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C9462A" w:rsidRDefault="00C9462A">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3B4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462A"/>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42B0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6A91AA1-3486-4497-9BDB-78B5BAF2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69F63-FD4A-49B8-8545-9EC5C6B7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1966</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2023-11-29T14:13:00Z</dcterms:created>
  <dcterms:modified xsi:type="dcterms:W3CDTF">2023-11-29T14:13:00Z</dcterms:modified>
</cp:coreProperties>
</file>