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21.1-03/1046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1333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облучателя ультрафиолетового бактерицидного</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 пос. Песочный, ул. Ленинградская д.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товара осуществляется в течение 45 (сорока пяти)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Одна партия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УПД в электронном виде. Копии регистрационных удостоверений на МИ 
                <w:br/>
                <w:br/>
              </w:t>
            </w:r>
            <w:r w:rsidRPr="00C15FD9">
              <w:rPr>
                <w:rFonts w:ascii="Times New Roman" w:hAnsi="Times New Roman" w:cs="Times New Roman"/>
                <w:noProof/>
                <w:sz w:val="24"/>
                <w:szCs w:val="24"/>
              </w:rPr>
              <w:t xml:space="preserve">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12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10%</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Распоряжение Правительства РФ № 3500-р от 8 декабря 2021 г.</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предусмотрены</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24.12.2024 № 1875 - ограничение (прил. 2, п. 360)</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Указывает участник</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15 штук</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A56876" w:rsidRPr="00A56876" w:rsidRDefault="00A56876" w:rsidP="00A56876">
      <w:pPr>
        <w:jc w:val="center"/>
        <w:rPr>
          <w:rFonts w:ascii="Times New Roman" w:hAnsi="Times New Roman" w:cs="Times New Roman"/>
          <w:b/>
          <w:sz w:val="28"/>
          <w:szCs w:val="28"/>
        </w:rPr>
      </w:pPr>
      <w:r w:rsidRPr="00A56876">
        <w:rPr>
          <w:rFonts w:ascii="Times New Roman" w:hAnsi="Times New Roman" w:cs="Times New Roman"/>
          <w:b/>
          <w:sz w:val="28"/>
          <w:szCs w:val="28"/>
        </w:rPr>
        <w:t>Техническое задание</w:t>
      </w:r>
    </w:p>
    <w:tbl>
      <w:tblPr>
        <w:tblpPr w:leftFromText="180" w:rightFromText="180" w:vertAnchor="text" w:horzAnchor="page" w:tblpX="906" w:tblpY="1"/>
        <w:tblOverlap w:val="never"/>
        <w:tblW w:w="15446" w:type="dxa"/>
        <w:tblLayout w:type="fixed"/>
        <w:tblLook w:val="04A0" w:firstRow="1" w:lastRow="0" w:firstColumn="1" w:lastColumn="0" w:noHBand="0" w:noVBand="1"/>
      </w:tblPr>
      <w:tblGrid>
        <w:gridCol w:w="708"/>
        <w:gridCol w:w="14738"/>
      </w:tblGrid>
      <w:tr w:rsidR="00A56876" w:rsidRPr="00A56876" w:rsidTr="00D70AF8">
        <w:trPr>
          <w:trHeight w:val="20"/>
        </w:trPr>
        <w:tc>
          <w:tcPr>
            <w:tcW w:w="708"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before="100" w:beforeAutospacing="1" w:after="0" w:afterAutospacing="1" w:line="240" w:lineRule="auto"/>
              <w:ind w:left="313"/>
              <w:contextualSpacing/>
              <w:rPr>
                <w:rFonts w:ascii="Times New Roman" w:eastAsia="Times New Roman" w:hAnsi="Times New Roman" w:cs="Times New Roman"/>
                <w:b/>
                <w:lang w:eastAsia="ru-RU"/>
              </w:rPr>
            </w:pPr>
          </w:p>
        </w:tc>
        <w:tc>
          <w:tcPr>
            <w:tcW w:w="14738" w:type="dxa"/>
            <w:tcBorders>
              <w:top w:val="single" w:sz="4" w:space="0" w:color="auto"/>
              <w:left w:val="single" w:sz="4" w:space="0" w:color="auto"/>
              <w:bottom w:val="single" w:sz="4" w:space="0" w:color="000000"/>
              <w:right w:val="single" w:sz="4" w:space="0" w:color="000000"/>
            </w:tcBorders>
            <w:vAlign w:val="center"/>
          </w:tcPr>
          <w:p w:rsidR="00A56876" w:rsidRPr="00A56876" w:rsidRDefault="00A56876" w:rsidP="00A56876">
            <w:pPr>
              <w:spacing w:before="100" w:beforeAutospacing="1" w:after="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b/>
                <w:lang w:eastAsia="ru-RU"/>
              </w:rPr>
              <w:t>Общие требования к Товару и исполнению контракта (независимо от предлагаемых технических характеристик)</w:t>
            </w:r>
          </w:p>
        </w:tc>
      </w:tr>
      <w:tr w:rsidR="00A56876" w:rsidRPr="00A56876" w:rsidTr="00D70AF8">
        <w:trPr>
          <w:trHeight w:val="20"/>
        </w:trPr>
        <w:tc>
          <w:tcPr>
            <w:tcW w:w="708"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numPr>
                <w:ilvl w:val="0"/>
                <w:numId w:val="20"/>
              </w:numPr>
              <w:spacing w:before="100" w:beforeAutospacing="1" w:after="0" w:afterAutospacing="1" w:line="240" w:lineRule="auto"/>
              <w:contextualSpacing/>
              <w:rPr>
                <w:rFonts w:ascii="Times New Roman" w:eastAsia="Times New Roman" w:hAnsi="Times New Roman" w:cs="Times New Roman"/>
                <w:lang w:eastAsia="ru-RU"/>
              </w:rPr>
            </w:pPr>
          </w:p>
        </w:tc>
        <w:tc>
          <w:tcPr>
            <w:tcW w:w="14738" w:type="dxa"/>
            <w:tcBorders>
              <w:top w:val="single" w:sz="4" w:space="0" w:color="000000"/>
              <w:bottom w:val="single" w:sz="4" w:space="0" w:color="000000"/>
              <w:right w:val="single" w:sz="4" w:space="0" w:color="000000"/>
            </w:tcBorders>
          </w:tcPr>
          <w:p w:rsidR="00A56876" w:rsidRPr="00A56876" w:rsidRDefault="00A56876" w:rsidP="00A56876">
            <w:pPr>
              <w:spacing w:after="0" w:line="240" w:lineRule="auto"/>
              <w:rPr>
                <w:rFonts w:ascii="Times New Roman" w:eastAsia="Times New Roman" w:hAnsi="Times New Roman" w:cs="Times New Roman"/>
              </w:rPr>
            </w:pPr>
            <w:r w:rsidRPr="00A56876">
              <w:rPr>
                <w:rFonts w:ascii="Times New Roman" w:eastAsia="Times New Roman" w:hAnsi="Times New Roman" w:cs="Times New Roman"/>
              </w:rPr>
              <w:t xml:space="preserve">Наличие </w:t>
            </w:r>
            <w:r w:rsidRPr="00A56876">
              <w:t xml:space="preserve"> </w:t>
            </w:r>
            <w:r w:rsidRPr="00A56876">
              <w:rPr>
                <w:rFonts w:ascii="Times New Roman" w:eastAsia="Times New Roman" w:hAnsi="Times New Roman" w:cs="Times New Roman"/>
              </w:rPr>
              <w:t>регистрационного удостоверения</w:t>
            </w:r>
          </w:p>
        </w:tc>
      </w:tr>
      <w:tr w:rsidR="00A56876" w:rsidRPr="00A56876" w:rsidTr="00D70AF8">
        <w:trPr>
          <w:trHeight w:val="20"/>
        </w:trPr>
        <w:tc>
          <w:tcPr>
            <w:tcW w:w="708"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numPr>
                <w:ilvl w:val="0"/>
                <w:numId w:val="20"/>
              </w:numPr>
              <w:spacing w:before="100" w:beforeAutospacing="1" w:after="0" w:afterAutospacing="1" w:line="240" w:lineRule="auto"/>
              <w:contextualSpacing/>
              <w:rPr>
                <w:rFonts w:ascii="Times New Roman" w:eastAsia="Times New Roman" w:hAnsi="Times New Roman" w:cs="Times New Roman"/>
                <w:lang w:eastAsia="ru-RU"/>
              </w:rPr>
            </w:pPr>
          </w:p>
        </w:tc>
        <w:tc>
          <w:tcPr>
            <w:tcW w:w="14738" w:type="dxa"/>
            <w:tcBorders>
              <w:top w:val="single" w:sz="4" w:space="0" w:color="000000"/>
              <w:bottom w:val="single" w:sz="4" w:space="0" w:color="000000"/>
              <w:right w:val="single" w:sz="4" w:space="0" w:color="000000"/>
            </w:tcBorders>
            <w:vAlign w:val="center"/>
          </w:tcPr>
          <w:p w:rsidR="00A56876" w:rsidRPr="00A56876" w:rsidRDefault="00A56876" w:rsidP="00A56876">
            <w:pPr>
              <w:spacing w:after="0" w:line="240" w:lineRule="auto"/>
              <w:rPr>
                <w:rFonts w:ascii="Times New Roman" w:eastAsia="Times New Roman" w:hAnsi="Times New Roman" w:cs="Times New Roman"/>
              </w:rPr>
            </w:pPr>
            <w:r w:rsidRPr="00A56876">
              <w:rPr>
                <w:rFonts w:ascii="Times New Roman" w:eastAsia="Times New Roman" w:hAnsi="Times New Roman" w:cs="Times New Roman"/>
              </w:rPr>
              <w:t xml:space="preserve">Наличие </w:t>
            </w:r>
            <w:r w:rsidRPr="00A56876">
              <w:rPr>
                <w:rFonts w:ascii="Times New Roman" w:eastAsia="Times New Roman" w:hAnsi="Times New Roman" w:cs="Times New Roman"/>
                <w:color w:val="000000"/>
                <w:lang w:eastAsia="ru-RU"/>
              </w:rPr>
              <w:t>инструкции по эксплуатации и техническая документация на русском языке.</w:t>
            </w:r>
          </w:p>
        </w:tc>
      </w:tr>
      <w:tr w:rsidR="00A56876" w:rsidRPr="00A56876" w:rsidTr="00D70AF8">
        <w:trPr>
          <w:trHeight w:val="20"/>
        </w:trPr>
        <w:tc>
          <w:tcPr>
            <w:tcW w:w="708"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numPr>
                <w:ilvl w:val="0"/>
                <w:numId w:val="20"/>
              </w:numPr>
              <w:spacing w:before="100" w:beforeAutospacing="1" w:after="0" w:afterAutospacing="1" w:line="240" w:lineRule="auto"/>
              <w:contextualSpacing/>
              <w:rPr>
                <w:rFonts w:ascii="Times New Roman" w:eastAsia="Times New Roman" w:hAnsi="Times New Roman" w:cs="Times New Roman"/>
                <w:lang w:eastAsia="ru-RU"/>
              </w:rPr>
            </w:pPr>
          </w:p>
        </w:tc>
        <w:tc>
          <w:tcPr>
            <w:tcW w:w="14738" w:type="dxa"/>
            <w:tcBorders>
              <w:top w:val="single" w:sz="4" w:space="0" w:color="000000"/>
              <w:bottom w:val="single" w:sz="4" w:space="0" w:color="000000"/>
              <w:right w:val="single" w:sz="4" w:space="0" w:color="000000"/>
            </w:tcBorders>
            <w:vAlign w:val="center"/>
          </w:tcPr>
          <w:p w:rsidR="00A56876" w:rsidRPr="00A56876" w:rsidRDefault="00A56876" w:rsidP="00A56876">
            <w:pPr>
              <w:spacing w:after="0" w:line="240" w:lineRule="auto"/>
              <w:rPr>
                <w:rFonts w:ascii="Times New Roman" w:eastAsia="Times New Roman" w:hAnsi="Times New Roman" w:cs="Times New Roman"/>
              </w:rPr>
            </w:pPr>
            <w:r w:rsidRPr="00A56876">
              <w:rPr>
                <w:rFonts w:ascii="Times New Roman" w:eastAsia="Times New Roman" w:hAnsi="Times New Roman" w:cs="Times New Roman"/>
              </w:rPr>
              <w:t>Срок предоставления гарантии поставщика – не менее 12 месяцев.</w:t>
            </w:r>
          </w:p>
        </w:tc>
      </w:tr>
    </w:tbl>
    <w:p w:rsidR="00A56876" w:rsidRPr="00A56876" w:rsidRDefault="00A56876" w:rsidP="00A56876">
      <w:pPr>
        <w:rPr>
          <w:rFonts w:ascii="Times New Roman" w:hAnsi="Times New Roman" w:cs="Times New Roman"/>
          <w:b/>
          <w:sz w:val="28"/>
          <w:szCs w:val="28"/>
        </w:rPr>
      </w:pPr>
    </w:p>
    <w:tbl>
      <w:tblPr>
        <w:tblW w:w="15782" w:type="dxa"/>
        <w:tblInd w:w="-223" w:type="dxa"/>
        <w:tblLayout w:type="fixed"/>
        <w:tblLook w:val="04A0" w:firstRow="1" w:lastRow="0" w:firstColumn="1" w:lastColumn="0" w:noHBand="0" w:noVBand="1"/>
      </w:tblPr>
      <w:tblGrid>
        <w:gridCol w:w="566"/>
        <w:gridCol w:w="2175"/>
        <w:gridCol w:w="10156"/>
        <w:gridCol w:w="617"/>
        <w:gridCol w:w="709"/>
        <w:gridCol w:w="1559"/>
      </w:tblGrid>
      <w:tr w:rsidR="00A56876" w:rsidRPr="00A56876" w:rsidTr="00D70AF8">
        <w:trPr>
          <w:trHeight w:val="20"/>
        </w:trPr>
        <w:tc>
          <w:tcPr>
            <w:tcW w:w="566"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color w:val="000000"/>
              </w:rPr>
            </w:pPr>
            <w:r w:rsidRPr="00A56876">
              <w:rPr>
                <w:rFonts w:ascii="Times New Roman" w:eastAsia="Times New Roman" w:hAnsi="Times New Roman" w:cs="Times New Roman"/>
                <w:b/>
                <w:color w:val="000000"/>
              </w:rPr>
              <w:t>№ п/п</w:t>
            </w:r>
          </w:p>
        </w:tc>
        <w:tc>
          <w:tcPr>
            <w:tcW w:w="2175" w:type="dxa"/>
            <w:tcBorders>
              <w:top w:val="single" w:sz="4" w:space="0" w:color="auto"/>
              <w:left w:val="nil"/>
              <w:bottom w:val="single" w:sz="4" w:space="0" w:color="auto"/>
              <w:right w:val="single" w:sz="4" w:space="0" w:color="auto"/>
            </w:tcBorders>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b/>
                <w:lang w:eastAsia="ru-RU"/>
              </w:rPr>
            </w:pPr>
            <w:r w:rsidRPr="00A56876">
              <w:rPr>
                <w:rFonts w:ascii="Times New Roman" w:eastAsia="Times New Roman" w:hAnsi="Times New Roman" w:cs="Times New Roman"/>
                <w:b/>
                <w:lang w:eastAsia="ru-RU"/>
              </w:rPr>
              <w:t>Наименование товара</w:t>
            </w:r>
          </w:p>
        </w:tc>
        <w:tc>
          <w:tcPr>
            <w:tcW w:w="10156" w:type="dxa"/>
            <w:tcBorders>
              <w:top w:val="single" w:sz="4" w:space="0" w:color="auto"/>
              <w:left w:val="nil"/>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bCs/>
                <w:lang w:eastAsia="ru-RU"/>
              </w:rPr>
            </w:pPr>
            <w:r w:rsidRPr="00A56876">
              <w:rPr>
                <w:rFonts w:ascii="Times New Roman" w:eastAsia="Times New Roman" w:hAnsi="Times New Roman" w:cs="Times New Roman"/>
                <w:b/>
                <w:bCs/>
                <w:lang w:eastAsia="ru-RU"/>
              </w:rPr>
              <w:t>Технические характеристики</w:t>
            </w:r>
          </w:p>
        </w:tc>
        <w:tc>
          <w:tcPr>
            <w:tcW w:w="617" w:type="dxa"/>
            <w:tcBorders>
              <w:top w:val="single" w:sz="4" w:space="0" w:color="auto"/>
              <w:left w:val="nil"/>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bCs/>
                <w:lang w:eastAsia="ru-RU"/>
              </w:rPr>
            </w:pPr>
            <w:r w:rsidRPr="00A56876">
              <w:rPr>
                <w:rFonts w:ascii="Times New Roman" w:eastAsia="Times New Roman" w:hAnsi="Times New Roman" w:cs="Times New Roman"/>
                <w:b/>
                <w:bCs/>
                <w:lang w:eastAsia="ru-RU"/>
              </w:rPr>
              <w:t>Ед. изм.</w:t>
            </w:r>
          </w:p>
        </w:tc>
        <w:tc>
          <w:tcPr>
            <w:tcW w:w="7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bCs/>
                <w:lang w:eastAsia="ru-RU"/>
              </w:rPr>
            </w:pPr>
            <w:r w:rsidRPr="00A56876">
              <w:rPr>
                <w:rFonts w:ascii="Times New Roman" w:eastAsia="Times New Roman" w:hAnsi="Times New Roman" w:cs="Times New Roman"/>
                <w:b/>
                <w:bCs/>
                <w:lang w:eastAsia="ru-RU"/>
              </w:rPr>
              <w:t>Кол-во</w:t>
            </w:r>
          </w:p>
        </w:tc>
        <w:tc>
          <w:tcPr>
            <w:tcW w:w="155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bCs/>
                <w:lang w:eastAsia="ru-RU"/>
              </w:rPr>
            </w:pPr>
            <w:r w:rsidRPr="00A56876">
              <w:rPr>
                <w:rFonts w:ascii="Times New Roman" w:eastAsia="Times New Roman" w:hAnsi="Times New Roman" w:cs="Times New Roman"/>
                <w:b/>
                <w:bCs/>
                <w:lang w:eastAsia="ru-RU"/>
              </w:rPr>
              <w:t>КОД ОКПД2 /КТРУ</w:t>
            </w:r>
          </w:p>
        </w:tc>
      </w:tr>
      <w:tr w:rsidR="00A56876" w:rsidRPr="00A56876" w:rsidTr="00D70AF8">
        <w:trPr>
          <w:trHeight w:val="558"/>
        </w:trPr>
        <w:tc>
          <w:tcPr>
            <w:tcW w:w="566"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color w:val="000000"/>
              </w:rPr>
            </w:pPr>
            <w:r w:rsidRPr="00A56876">
              <w:rPr>
                <w:rFonts w:ascii="Times New Roman" w:eastAsia="Times New Roman" w:hAnsi="Times New Roman" w:cs="Times New Roman"/>
                <w:b/>
                <w:color w:val="000000"/>
              </w:rPr>
              <w:t>1</w:t>
            </w:r>
          </w:p>
        </w:tc>
        <w:tc>
          <w:tcPr>
            <w:tcW w:w="2175" w:type="dxa"/>
            <w:tcBorders>
              <w:top w:val="single" w:sz="4" w:space="0" w:color="auto"/>
              <w:left w:val="nil"/>
              <w:bottom w:val="single" w:sz="4" w:space="0" w:color="auto"/>
              <w:right w:val="single" w:sz="4" w:space="0" w:color="auto"/>
            </w:tcBorders>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b/>
                <w:lang w:eastAsia="ru-RU"/>
              </w:rPr>
            </w:pPr>
            <w:r w:rsidRPr="00A56876">
              <w:rPr>
                <w:rFonts w:ascii="Times New Roman" w:eastAsia="Times New Roman" w:hAnsi="Times New Roman" w:cs="Times New Roman"/>
                <w:b/>
                <w:lang w:eastAsia="ru-RU"/>
              </w:rPr>
              <w:t>Облучатель ультрафиолетовый бактерицидный</w:t>
            </w:r>
          </w:p>
        </w:tc>
        <w:tc>
          <w:tcPr>
            <w:tcW w:w="10156" w:type="dxa"/>
            <w:tcBorders>
              <w:top w:val="single" w:sz="4" w:space="0" w:color="auto"/>
              <w:left w:val="nil"/>
              <w:bottom w:val="single" w:sz="4" w:space="0" w:color="auto"/>
              <w:right w:val="single" w:sz="4" w:space="0" w:color="auto"/>
            </w:tcBorders>
          </w:tcPr>
          <w:tbl>
            <w:tblPr>
              <w:tblpPr w:leftFromText="180" w:rightFromText="180" w:vertAnchor="text" w:horzAnchor="page" w:tblpX="12885" w:tblpY="1"/>
              <w:tblOverlap w:val="never"/>
              <w:tblW w:w="10196" w:type="dxa"/>
              <w:tblLayout w:type="fixed"/>
              <w:tblLook w:val="04A0" w:firstRow="1" w:lastRow="0" w:firstColumn="1" w:lastColumn="0" w:noHBand="0" w:noVBand="1"/>
            </w:tblPr>
            <w:tblGrid>
              <w:gridCol w:w="1129"/>
              <w:gridCol w:w="3964"/>
              <w:gridCol w:w="1843"/>
              <w:gridCol w:w="851"/>
              <w:gridCol w:w="2409"/>
            </w:tblGrid>
            <w:tr w:rsidR="00A56876" w:rsidRPr="00A56876" w:rsidTr="00D70AF8">
              <w:trPr>
                <w:trHeight w:val="547"/>
              </w:trPr>
              <w:tc>
                <w:tcPr>
                  <w:tcW w:w="1129" w:type="dxa"/>
                  <w:tcBorders>
                    <w:top w:val="single" w:sz="8" w:space="0" w:color="auto"/>
                    <w:left w:val="single" w:sz="8" w:space="0" w:color="auto"/>
                    <w:bottom w:val="single" w:sz="8" w:space="0" w:color="auto"/>
                    <w:right w:val="single" w:sz="8" w:space="0" w:color="auto"/>
                  </w:tcBorders>
                  <w:vAlign w:val="center"/>
                  <w:hideMark/>
                </w:tcPr>
                <w:p w:rsidR="00A56876" w:rsidRPr="00A56876" w:rsidRDefault="00A56876" w:rsidP="00A56876">
                  <w:pPr>
                    <w:spacing w:after="0" w:line="240" w:lineRule="auto"/>
                    <w:jc w:val="center"/>
                    <w:rPr>
                      <w:rFonts w:ascii="Times New Roman" w:eastAsia="Times New Roman" w:hAnsi="Times New Roman" w:cs="Times New Roman"/>
                      <w:b/>
                      <w:bCs/>
                      <w:color w:val="000000"/>
                      <w:lang w:eastAsia="ru-RU"/>
                    </w:rPr>
                  </w:pPr>
                  <w:r w:rsidRPr="00A56876">
                    <w:rPr>
                      <w:rFonts w:ascii="Times New Roman" w:eastAsia="Times New Roman" w:hAnsi="Times New Roman" w:cs="Times New Roman"/>
                      <w:b/>
                      <w:bCs/>
                      <w:color w:val="000000"/>
                      <w:lang w:eastAsia="ru-RU"/>
                    </w:rPr>
                    <w:t>№ п/п</w:t>
                  </w:r>
                </w:p>
              </w:tc>
              <w:tc>
                <w:tcPr>
                  <w:tcW w:w="3964" w:type="dxa"/>
                  <w:tcBorders>
                    <w:top w:val="single" w:sz="8" w:space="0" w:color="auto"/>
                    <w:bottom w:val="single" w:sz="8" w:space="0" w:color="auto"/>
                    <w:right w:val="single" w:sz="8" w:space="0" w:color="auto"/>
                  </w:tcBorders>
                  <w:vAlign w:val="center"/>
                  <w:hideMark/>
                </w:tcPr>
                <w:p w:rsidR="00A56876" w:rsidRPr="00A56876" w:rsidRDefault="00A56876" w:rsidP="00A56876">
                  <w:pPr>
                    <w:spacing w:after="0" w:line="240" w:lineRule="auto"/>
                    <w:jc w:val="center"/>
                    <w:rPr>
                      <w:rFonts w:ascii="Times New Roman" w:eastAsia="Times New Roman" w:hAnsi="Times New Roman" w:cs="Times New Roman"/>
                      <w:b/>
                      <w:bCs/>
                      <w:color w:val="000000"/>
                      <w:lang w:eastAsia="ru-RU"/>
                    </w:rPr>
                  </w:pPr>
                  <w:r w:rsidRPr="00A56876">
                    <w:rPr>
                      <w:rFonts w:ascii="Times New Roman" w:eastAsia="Times New Roman" w:hAnsi="Times New Roman" w:cs="Times New Roman"/>
                      <w:b/>
                      <w:bCs/>
                      <w:color w:val="000000"/>
                      <w:lang w:eastAsia="ru-RU"/>
                    </w:rPr>
                    <w:t>Наименование показателя/Технические характеристики</w:t>
                  </w:r>
                </w:p>
              </w:tc>
              <w:tc>
                <w:tcPr>
                  <w:tcW w:w="1843" w:type="dxa"/>
                  <w:tcBorders>
                    <w:top w:val="single" w:sz="8" w:space="0" w:color="auto"/>
                    <w:bottom w:val="single" w:sz="8" w:space="0" w:color="auto"/>
                    <w:right w:val="single" w:sz="8" w:space="0" w:color="000000"/>
                  </w:tcBorders>
                  <w:vAlign w:val="center"/>
                  <w:hideMark/>
                </w:tcPr>
                <w:p w:rsidR="00A56876" w:rsidRPr="00A56876" w:rsidRDefault="00A56876" w:rsidP="00A56876">
                  <w:pPr>
                    <w:spacing w:after="0" w:line="240" w:lineRule="auto"/>
                    <w:jc w:val="center"/>
                    <w:rPr>
                      <w:rFonts w:ascii="Times New Roman" w:eastAsia="Times New Roman" w:hAnsi="Times New Roman" w:cs="Times New Roman"/>
                      <w:b/>
                      <w:bCs/>
                      <w:color w:val="000000"/>
                      <w:lang w:eastAsia="ru-RU"/>
                    </w:rPr>
                  </w:pPr>
                  <w:r w:rsidRPr="00A56876">
                    <w:rPr>
                      <w:rFonts w:ascii="Times New Roman" w:eastAsia="Times New Roman" w:hAnsi="Times New Roman" w:cs="Times New Roman"/>
                      <w:b/>
                      <w:bCs/>
                      <w:color w:val="000000"/>
                      <w:lang w:eastAsia="ru-RU"/>
                    </w:rPr>
                    <w:t>Значение показателей</w:t>
                  </w:r>
                </w:p>
              </w:tc>
              <w:tc>
                <w:tcPr>
                  <w:tcW w:w="851" w:type="dxa"/>
                  <w:tcBorders>
                    <w:top w:val="single" w:sz="8" w:space="0" w:color="auto"/>
                    <w:bottom w:val="single" w:sz="8" w:space="0" w:color="auto"/>
                    <w:right w:val="single" w:sz="8" w:space="0" w:color="auto"/>
                  </w:tcBorders>
                  <w:vAlign w:val="center"/>
                  <w:hideMark/>
                </w:tcPr>
                <w:p w:rsidR="00A56876" w:rsidRPr="00A56876" w:rsidRDefault="00A56876" w:rsidP="00A56876">
                  <w:pPr>
                    <w:spacing w:after="0" w:line="240" w:lineRule="auto"/>
                    <w:jc w:val="center"/>
                    <w:rPr>
                      <w:rFonts w:ascii="Times New Roman" w:eastAsia="Times New Roman" w:hAnsi="Times New Roman" w:cs="Times New Roman"/>
                      <w:b/>
                      <w:bCs/>
                      <w:color w:val="000000"/>
                      <w:lang w:eastAsia="ru-RU"/>
                    </w:rPr>
                  </w:pPr>
                  <w:r w:rsidRPr="00A56876">
                    <w:rPr>
                      <w:rFonts w:ascii="Times New Roman" w:eastAsia="Times New Roman" w:hAnsi="Times New Roman" w:cs="Times New Roman"/>
                      <w:b/>
                      <w:bCs/>
                      <w:color w:val="000000"/>
                    </w:rPr>
                    <w:t>Единица измерения</w:t>
                  </w:r>
                </w:p>
              </w:tc>
              <w:tc>
                <w:tcPr>
                  <w:tcW w:w="2409" w:type="dxa"/>
                  <w:tcBorders>
                    <w:top w:val="single" w:sz="8" w:space="0" w:color="auto"/>
                    <w:bottom w:val="single" w:sz="8" w:space="0" w:color="auto"/>
                    <w:right w:val="single" w:sz="8" w:space="0" w:color="auto"/>
                  </w:tcBorders>
                </w:tcPr>
                <w:p w:rsidR="00A56876" w:rsidRPr="00A56876" w:rsidRDefault="00A56876" w:rsidP="00A56876">
                  <w:pPr>
                    <w:spacing w:after="0" w:line="240" w:lineRule="auto"/>
                    <w:jc w:val="center"/>
                    <w:rPr>
                      <w:rFonts w:ascii="Times New Roman" w:eastAsia="Times New Roman" w:hAnsi="Times New Roman" w:cs="Times New Roman"/>
                      <w:b/>
                      <w:bCs/>
                      <w:color w:val="000000"/>
                    </w:rPr>
                  </w:pPr>
                  <w:r w:rsidRPr="00A56876">
                    <w:rPr>
                      <w:rFonts w:ascii="Times New Roman" w:eastAsia="Times New Roman" w:hAnsi="Times New Roman" w:cs="Times New Roman"/>
                      <w:b/>
                      <w:bCs/>
                      <w:color w:val="000000"/>
                    </w:rPr>
                    <w:t>Инструкция по заполнению характеристик в заявке</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numPr>
                      <w:ilvl w:val="0"/>
                      <w:numId w:val="21"/>
                    </w:numPr>
                    <w:spacing w:before="100" w:beforeAutospacing="1" w:after="0" w:afterAutospacing="1" w:line="240" w:lineRule="auto"/>
                    <w:contextualSpacing/>
                    <w:jc w:val="center"/>
                    <w:rPr>
                      <w:rFonts w:ascii="Times New Roman" w:eastAsia="Times New Roman" w:hAnsi="Times New Roman" w:cs="Times New Roman"/>
                      <w:b/>
                      <w:lang w:eastAsia="ru-RU"/>
                    </w:rPr>
                  </w:pPr>
                </w:p>
              </w:tc>
              <w:tc>
                <w:tcPr>
                  <w:tcW w:w="3964"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b/>
                      <w:lang w:eastAsia="ru-RU"/>
                    </w:rPr>
                  </w:pPr>
                  <w:r w:rsidRPr="00A56876">
                    <w:rPr>
                      <w:rFonts w:ascii="Times New Roman" w:eastAsia="Times New Roman" w:hAnsi="Times New Roman" w:cs="Times New Roman"/>
                      <w:b/>
                      <w:lang w:eastAsia="ru-RU"/>
                    </w:rPr>
                    <w:t>Технические характеристики в соответствии с КТРУ:</w:t>
                  </w:r>
                </w:p>
              </w:tc>
              <w:tc>
                <w:tcPr>
                  <w:tcW w:w="1843" w:type="dxa"/>
                  <w:tcBorders>
                    <w:top w:val="single" w:sz="4" w:space="0" w:color="000000"/>
                    <w:left w:val="single" w:sz="4" w:space="0" w:color="000000"/>
                    <w:bottom w:val="single" w:sz="4" w:space="0" w:color="000000"/>
                    <w:right w:val="single" w:sz="4" w:space="0" w:color="000000"/>
                  </w:tcBorders>
                  <w:vAlign w:val="center"/>
                </w:tcPr>
                <w:p w:rsidR="00A56876" w:rsidRPr="00A56876" w:rsidRDefault="00A56876" w:rsidP="00A56876">
                  <w:pPr>
                    <w:tabs>
                      <w:tab w:val="left" w:pos="4995"/>
                    </w:tabs>
                    <w:spacing w:before="100" w:beforeAutospacing="1" w:after="100" w:afterAutospacing="1" w:line="240" w:lineRule="exact"/>
                    <w:jc w:val="center"/>
                    <w:rPr>
                      <w:rFonts w:ascii="Times New Roman" w:eastAsia="Times New Roman" w:hAnsi="Times New Roman" w:cs="Times New Roman"/>
                      <w:lang w:eastAsia="ru-RU"/>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lang w:eastAsia="ru-RU"/>
                    </w:rPr>
                  </w:pP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numPr>
                      <w:ilvl w:val="0"/>
                      <w:numId w:val="22"/>
                    </w:numPr>
                    <w:spacing w:before="100" w:beforeAutospacing="1" w:after="0" w:afterAutospacing="1" w:line="240" w:lineRule="auto"/>
                    <w:contextualSpacing/>
                    <w:rPr>
                      <w:rFonts w:ascii="Times New Roman" w:eastAsia="Times New Roman" w:hAnsi="Times New Roman" w:cs="Times New Roman"/>
                      <w:b/>
                      <w:lang w:eastAsia="ru-RU"/>
                    </w:rPr>
                  </w:pP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Бактерицидная эффективность</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Не менее 99,9%</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значение характеристики не может изменяться участником закупки</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numPr>
                      <w:ilvl w:val="0"/>
                      <w:numId w:val="22"/>
                    </w:numPr>
                    <w:spacing w:before="100" w:beforeAutospacing="1" w:after="0" w:afterAutospacing="1" w:line="240" w:lineRule="auto"/>
                    <w:contextualSpacing/>
                    <w:rPr>
                      <w:rFonts w:ascii="Times New Roman" w:eastAsia="Times New Roman" w:hAnsi="Times New Roman" w:cs="Times New Roman"/>
                      <w:b/>
                      <w:lang w:eastAsia="ru-RU"/>
                    </w:rPr>
                  </w:pP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0" w:afterAutospacing="1" w:line="240" w:lineRule="auto"/>
                    <w:rPr>
                      <w:rFonts w:ascii="Times New Roman" w:eastAsia="Times New Roman" w:hAnsi="Times New Roman" w:cs="Times New Roman"/>
                      <w:bCs/>
                      <w:lang w:eastAsia="ru-RU"/>
                    </w:rPr>
                  </w:pPr>
                  <w:r w:rsidRPr="00A56876">
                    <w:rPr>
                      <w:rFonts w:ascii="Times New Roman" w:eastAsia="Times New Roman" w:hAnsi="Times New Roman" w:cs="Times New Roman"/>
                      <w:bCs/>
                      <w:lang w:eastAsia="ru-RU"/>
                    </w:rPr>
                    <w:t>Вид</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Облучатель-рециркулятор</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значение характеристики не может изменяться участником закупки</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after="0"/>
                    <w:ind w:left="502"/>
                    <w:contextualSpacing/>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1.3.</w:t>
                  </w: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0" w:afterAutospacing="1" w:line="240" w:lineRule="auto"/>
                    <w:rPr>
                      <w:rFonts w:ascii="Times New Roman" w:eastAsia="Times New Roman" w:hAnsi="Times New Roman" w:cs="Times New Roman"/>
                      <w:bCs/>
                      <w:lang w:eastAsia="ru-RU"/>
                    </w:rPr>
                  </w:pPr>
                  <w:r w:rsidRPr="00A56876">
                    <w:rPr>
                      <w:rFonts w:ascii="Times New Roman" w:eastAsia="Times New Roman" w:hAnsi="Times New Roman" w:cs="Times New Roman"/>
                      <w:bCs/>
                      <w:lang w:eastAsia="ru-RU"/>
                    </w:rPr>
                    <w:t>Индикатор наработки</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Нет</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значение характеристики не может изменяться участником закупки</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after="0"/>
                    <w:ind w:left="502"/>
                    <w:contextualSpacing/>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1.4.</w:t>
                  </w: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0" w:afterAutospacing="1" w:line="240" w:lineRule="auto"/>
                    <w:rPr>
                      <w:rFonts w:ascii="Times New Roman" w:eastAsia="Times New Roman" w:hAnsi="Times New Roman" w:cs="Times New Roman"/>
                      <w:bCs/>
                      <w:lang w:eastAsia="ru-RU"/>
                    </w:rPr>
                  </w:pPr>
                  <w:r w:rsidRPr="00A56876">
                    <w:rPr>
                      <w:rFonts w:ascii="Times New Roman" w:eastAsia="Times New Roman" w:hAnsi="Times New Roman" w:cs="Times New Roman"/>
                      <w:bCs/>
                      <w:lang w:eastAsia="ru-RU"/>
                    </w:rPr>
                    <w:t>Исполнение</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Стационарный</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значение характеристики не может изменяться участником закупки</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after="0"/>
                    <w:ind w:left="502"/>
                    <w:contextualSpacing/>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1.5.</w:t>
                  </w: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0" w:afterAutospacing="1" w:line="240" w:lineRule="auto"/>
                    <w:rPr>
                      <w:rFonts w:ascii="Times New Roman" w:eastAsia="Times New Roman" w:hAnsi="Times New Roman" w:cs="Times New Roman"/>
                      <w:bCs/>
                      <w:lang w:eastAsia="ru-RU"/>
                    </w:rPr>
                  </w:pPr>
                  <w:r w:rsidRPr="00A56876">
                    <w:rPr>
                      <w:rFonts w:ascii="Times New Roman" w:eastAsia="Times New Roman" w:hAnsi="Times New Roman" w:cs="Times New Roman"/>
                      <w:bCs/>
                      <w:lang w:eastAsia="ru-RU"/>
                    </w:rPr>
                    <w:t>Производительность</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&gt; 100  и  ≤ 140</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Кубический метр в час</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after="0"/>
                    <w:ind w:left="502"/>
                    <w:contextualSpacing/>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1.6</w:t>
                  </w: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0" w:afterAutospacing="1" w:line="240" w:lineRule="auto"/>
                    <w:rPr>
                      <w:rFonts w:ascii="Times New Roman" w:eastAsia="Times New Roman" w:hAnsi="Times New Roman" w:cs="Times New Roman"/>
                      <w:bCs/>
                      <w:lang w:eastAsia="ru-RU"/>
                    </w:rPr>
                  </w:pPr>
                  <w:r w:rsidRPr="00A56876">
                    <w:rPr>
                      <w:rFonts w:ascii="Times New Roman" w:eastAsia="Times New Roman" w:hAnsi="Times New Roman" w:cs="Times New Roman"/>
                      <w:bCs/>
                      <w:lang w:eastAsia="ru-RU"/>
                    </w:rPr>
                    <w:t>Работа в присутствии людей</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Да</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значение характеристики не может изменяться участником закупки</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after="0"/>
                    <w:ind w:left="502"/>
                    <w:contextualSpacing/>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1.7</w:t>
                  </w: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0" w:afterAutospacing="1" w:line="240" w:lineRule="auto"/>
                    <w:rPr>
                      <w:rFonts w:ascii="Times New Roman" w:eastAsia="Times New Roman" w:hAnsi="Times New Roman" w:cs="Times New Roman"/>
                      <w:bCs/>
                      <w:lang w:eastAsia="ru-RU"/>
                    </w:rPr>
                  </w:pPr>
                  <w:r w:rsidRPr="00A56876">
                    <w:rPr>
                      <w:rFonts w:ascii="Times New Roman" w:eastAsia="Times New Roman" w:hAnsi="Times New Roman" w:cs="Times New Roman"/>
                      <w:bCs/>
                      <w:lang w:eastAsia="ru-RU"/>
                    </w:rPr>
                    <w:t>Режим работы</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Непрерывный</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значение характеристики не может изменяться участником закупки</w:t>
                  </w:r>
                </w:p>
              </w:tc>
            </w:tr>
            <w:tr w:rsidR="00A56876" w:rsidRPr="00A56876" w:rsidTr="00D70AF8">
              <w:trPr>
                <w:trHeight w:val="20"/>
              </w:trPr>
              <w:tc>
                <w:tcPr>
                  <w:tcW w:w="1129" w:type="dxa"/>
                  <w:tcBorders>
                    <w:top w:val="single" w:sz="4" w:space="0" w:color="000000"/>
                    <w:left w:val="single" w:sz="4" w:space="0" w:color="000000"/>
                    <w:bottom w:val="single" w:sz="4" w:space="0" w:color="000000"/>
                    <w:right w:val="single" w:sz="4" w:space="0" w:color="000000"/>
                  </w:tcBorders>
                </w:tcPr>
                <w:p w:rsidR="00A56876" w:rsidRPr="00A56876" w:rsidRDefault="00A56876" w:rsidP="00A56876">
                  <w:pPr>
                    <w:spacing w:after="0"/>
                    <w:ind w:left="502"/>
                    <w:contextualSpacing/>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1.8</w:t>
                  </w:r>
                </w:p>
              </w:tc>
              <w:tc>
                <w:tcPr>
                  <w:tcW w:w="3964"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0" w:afterAutospacing="1" w:line="240" w:lineRule="auto"/>
                    <w:rPr>
                      <w:rFonts w:ascii="Times New Roman" w:eastAsia="Times New Roman" w:hAnsi="Times New Roman" w:cs="Times New Roman"/>
                      <w:bCs/>
                      <w:lang w:eastAsia="ru-RU"/>
                    </w:rPr>
                  </w:pPr>
                  <w:r w:rsidRPr="00A56876">
                    <w:rPr>
                      <w:rFonts w:ascii="Times New Roman" w:eastAsia="Times New Roman" w:hAnsi="Times New Roman" w:cs="Times New Roman"/>
                      <w:bCs/>
                      <w:lang w:eastAsia="ru-RU"/>
                    </w:rPr>
                    <w:t>Эффективный ресурс работы ламп</w:t>
                  </w:r>
                </w:p>
              </w:tc>
              <w:tc>
                <w:tcPr>
                  <w:tcW w:w="1843"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10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 8000  и  ≤ 12000</w:t>
                  </w:r>
                </w:p>
              </w:tc>
              <w:tc>
                <w:tcPr>
                  <w:tcW w:w="851" w:type="dxa"/>
                  <w:tcBorders>
                    <w:top w:val="single" w:sz="4" w:space="0" w:color="auto"/>
                    <w:left w:val="single" w:sz="4" w:space="0" w:color="auto"/>
                    <w:bottom w:val="single" w:sz="4" w:space="0" w:color="auto"/>
                    <w:right w:val="single" w:sz="4" w:space="0" w:color="auto"/>
                  </w:tcBorders>
                  <w:vAlign w:val="center"/>
                </w:tcPr>
                <w:p w:rsidR="00A56876" w:rsidRPr="00A56876" w:rsidRDefault="00A56876" w:rsidP="00A56876">
                  <w:pPr>
                    <w:spacing w:before="100" w:beforeAutospacing="1" w:after="0" w:afterAutospacing="1" w:line="240" w:lineRule="auto"/>
                    <w:jc w:val="center"/>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Час</w:t>
                  </w:r>
                </w:p>
              </w:tc>
              <w:tc>
                <w:tcPr>
                  <w:tcW w:w="24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before="100" w:beforeAutospacing="1" w:after="100" w:afterAutospacing="1" w:line="240" w:lineRule="auto"/>
                    <w:rPr>
                      <w:rFonts w:ascii="Times New Roman" w:eastAsia="Times New Roman" w:hAnsi="Times New Roman" w:cs="Times New Roman"/>
                      <w:lang w:eastAsia="ru-RU"/>
                    </w:rPr>
                  </w:pPr>
                  <w:r w:rsidRPr="00A56876">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bl>
          <w:p w:rsidR="00A56876" w:rsidRPr="00A56876" w:rsidRDefault="00A56876" w:rsidP="00A56876">
            <w:pPr>
              <w:spacing w:after="0" w:line="240" w:lineRule="auto"/>
              <w:rPr>
                <w:rFonts w:ascii="Times New Roman" w:eastAsia="Times New Roman" w:hAnsi="Times New Roman" w:cs="Times New Roman"/>
                <w:b/>
                <w:lang w:eastAsia="ru-RU"/>
              </w:rPr>
            </w:pPr>
          </w:p>
        </w:tc>
        <w:tc>
          <w:tcPr>
            <w:tcW w:w="617" w:type="dxa"/>
            <w:tcBorders>
              <w:top w:val="single" w:sz="4" w:space="0" w:color="auto"/>
              <w:left w:val="nil"/>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bCs/>
                <w:lang w:eastAsia="ru-RU"/>
              </w:rPr>
            </w:pPr>
            <w:r w:rsidRPr="00A56876">
              <w:rPr>
                <w:rFonts w:ascii="Times New Roman" w:eastAsia="Times New Roman" w:hAnsi="Times New Roman" w:cs="Times New Roman"/>
                <w:b/>
                <w:bCs/>
                <w:lang w:eastAsia="ru-RU"/>
              </w:rPr>
              <w:t>шт</w:t>
            </w:r>
          </w:p>
        </w:tc>
        <w:tc>
          <w:tcPr>
            <w:tcW w:w="70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bCs/>
                <w:lang w:eastAsia="ru-RU"/>
              </w:rPr>
            </w:pPr>
            <w:r w:rsidRPr="00A56876">
              <w:rPr>
                <w:rFonts w:ascii="Times New Roman" w:eastAsia="Times New Roman" w:hAnsi="Times New Roman" w:cs="Times New Roman"/>
                <w:b/>
                <w:bCs/>
                <w:lang w:eastAsia="ru-RU"/>
              </w:rPr>
              <w:t>15</w:t>
            </w:r>
          </w:p>
        </w:tc>
        <w:tc>
          <w:tcPr>
            <w:tcW w:w="1559" w:type="dxa"/>
            <w:tcBorders>
              <w:top w:val="single" w:sz="4" w:space="0" w:color="auto"/>
              <w:left w:val="single" w:sz="4" w:space="0" w:color="auto"/>
              <w:bottom w:val="single" w:sz="4" w:space="0" w:color="auto"/>
              <w:right w:val="single" w:sz="4" w:space="0" w:color="auto"/>
            </w:tcBorders>
          </w:tcPr>
          <w:p w:rsidR="00A56876" w:rsidRPr="00A56876" w:rsidRDefault="00A56876" w:rsidP="00A56876">
            <w:pPr>
              <w:spacing w:after="0" w:line="240" w:lineRule="auto"/>
              <w:ind w:right="-108"/>
              <w:jc w:val="center"/>
              <w:rPr>
                <w:rFonts w:ascii="Times New Roman" w:eastAsia="Times New Roman" w:hAnsi="Times New Roman" w:cs="Times New Roman"/>
                <w:b/>
                <w:bCs/>
                <w:lang w:eastAsia="ru-RU"/>
              </w:rPr>
            </w:pPr>
            <w:r w:rsidRPr="00A56876">
              <w:rPr>
                <w:rFonts w:ascii="Times New Roman" w:eastAsia="Times New Roman" w:hAnsi="Times New Roman" w:cs="Times New Roman"/>
                <w:b/>
                <w:bCs/>
                <w:lang w:eastAsia="ru-RU"/>
              </w:rPr>
              <w:t>32.50.50.190-00002875</w:t>
            </w:r>
          </w:p>
        </w:tc>
      </w:tr>
    </w:tbl>
    <w:p w:rsidR="00A56876" w:rsidRPr="00A56876" w:rsidRDefault="00A56876" w:rsidP="00A56876">
      <w:pPr>
        <w:tabs>
          <w:tab w:val="center" w:pos="7852"/>
        </w:tabs>
        <w:spacing w:before="100" w:beforeAutospacing="1" w:after="100" w:afterAutospacing="1" w:line="240" w:lineRule="auto"/>
        <w:jc w:val="center"/>
        <w:rPr>
          <w:rFonts w:ascii="Times New Roman" w:eastAsia="Times New Roman" w:hAnsi="Times New Roman" w:cs="Times New Roman"/>
          <w:b/>
          <w:bCs/>
          <w:lang w:eastAsia="ru-RU"/>
        </w:rPr>
      </w:pPr>
    </w:p>
    <w:p w:rsidR="00A56876" w:rsidRPr="000437D6" w:rsidRDefault="00A56876"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A56876">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8C4" w:rsidRDefault="009158C4">
      <w:pPr>
        <w:spacing w:after="0" w:line="240" w:lineRule="auto"/>
      </w:pPr>
      <w:r>
        <w:separator/>
      </w:r>
    </w:p>
  </w:endnote>
  <w:endnote w:type="continuationSeparator" w:id="0">
    <w:p w:rsidR="009158C4" w:rsidRDefault="00915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3C" w:rsidRDefault="00F1333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333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1333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333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333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333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A5687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8C4" w:rsidRDefault="009158C4">
      <w:pPr>
        <w:spacing w:after="0" w:line="240" w:lineRule="auto"/>
      </w:pPr>
      <w:r>
        <w:separator/>
      </w:r>
    </w:p>
  </w:footnote>
  <w:footnote w:type="continuationSeparator" w:id="0">
    <w:p w:rsidR="009158C4" w:rsidRDefault="009158C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3C" w:rsidRDefault="00F1333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3C" w:rsidRDefault="00F1333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333C" w:rsidRDefault="00F1333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8CC2D61"/>
    <w:multiLevelType w:val="hybridMultilevel"/>
    <w:tmpl w:val="B1E4E984"/>
    <w:lvl w:ilvl="0" w:tplc="5B8C8A76">
      <w:start w:val="1"/>
      <w:numFmt w:val="decimal"/>
      <w:lvlText w:val="1.%1."/>
      <w:lvlJc w:val="left"/>
      <w:pPr>
        <w:ind w:left="76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83373C"/>
    <w:multiLevelType w:val="hybridMultilevel"/>
    <w:tmpl w:val="0DCEEBEC"/>
    <w:lvl w:ilvl="0" w:tplc="9888139C">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55757B6"/>
    <w:multiLevelType w:val="hybridMultilevel"/>
    <w:tmpl w:val="48DEE8DE"/>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2"/>
  </w:num>
  <w:num w:numId="7">
    <w:abstractNumId w:val="2"/>
  </w:num>
  <w:num w:numId="8">
    <w:abstractNumId w:val="19"/>
  </w:num>
  <w:num w:numId="9">
    <w:abstractNumId w:val="1"/>
  </w:num>
  <w:num w:numId="10">
    <w:abstractNumId w:val="18"/>
  </w:num>
  <w:num w:numId="11">
    <w:abstractNumId w:val="21"/>
  </w:num>
  <w:num w:numId="12">
    <w:abstractNumId w:val="11"/>
  </w:num>
  <w:num w:numId="13">
    <w:abstractNumId w:val="4"/>
  </w:num>
  <w:num w:numId="14">
    <w:abstractNumId w:val="8"/>
  </w:num>
  <w:num w:numId="15">
    <w:abstractNumId w:val="20"/>
  </w:num>
  <w:num w:numId="16">
    <w:abstractNumId w:val="14"/>
  </w:num>
  <w:num w:numId="17">
    <w:abstractNumId w:val="7"/>
  </w:num>
  <w:num w:numId="18">
    <w:abstractNumId w:val="6"/>
  </w:num>
  <w:num w:numId="19">
    <w:abstractNumId w:val="16"/>
  </w:num>
  <w:num w:numId="20">
    <w:abstractNumId w:val="17"/>
  </w:num>
  <w:num w:numId="21">
    <w:abstractNumId w:val="10"/>
  </w:num>
  <w:num w:numId="2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58C4"/>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876"/>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333C"/>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EFD2C-0D62-4A28-849F-DB84F4D2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5997</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2026-05-12T12:31:00Z</dcterms:created>
  <dcterms:modified xsi:type="dcterms:W3CDTF">2026-05-12T12:31:00Z</dcterms:modified>
</cp:coreProperties>
</file>