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5CFD4F9C" wp14:editId="7CE40662">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23.11.2023 № 21.1-03/1544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4860">
            <w:pPr>
              <w:tabs>
                <w:tab w:val="left" w:pos="284"/>
              </w:tabs>
              <w:ind w:left="-1"/>
              <w:jc w:val="both"/>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851F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8472"/>
        <w:gridCol w:w="6879"/>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оконных жалюзи с установкой</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29.12.2023</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заключения Контракта</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22.12.2023</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1 (одна)</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менее 12 (двенадцати) месяцев с момента поставки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4961"/>
        <w:gridCol w:w="1589"/>
        <w:gridCol w:w="879"/>
        <w:gridCol w:w="851"/>
        <w:gridCol w:w="1786"/>
        <w:gridCol w:w="850"/>
        <w:gridCol w:w="1276"/>
        <w:gridCol w:w="1305"/>
      </w:tblGrid>
      <w:tr w:rsidR="00950EEA" w:rsidRPr="00E80BBD" w:rsidTr="005B1FCE">
        <w:trPr>
          <w:trHeight w:val="729"/>
        </w:trPr>
        <w:tc>
          <w:tcPr>
            <w:tcW w:w="851" w:type="dxa"/>
            <w:hideMark/>
          </w:tcPr>
          <w:p w:rsidR="00950EEA" w:rsidRPr="00E80BBD" w:rsidRDefault="00950EEA" w:rsidP="005B1FCE">
            <w:pPr>
              <w:spacing w:after="0"/>
              <w:jc w:val="center"/>
              <w:rPr>
                <w:rFonts w:ascii="Times New Roman" w:hAnsi="Times New Roman" w:cs="Times New Roman"/>
                <w:b/>
                <w:bCs/>
              </w:rPr>
            </w:pPr>
            <w:r w:rsidRPr="00E80BBD">
              <w:rPr>
                <w:rFonts w:ascii="Times New Roman" w:hAnsi="Times New Roman" w:cs="Times New Roman"/>
                <w:b/>
                <w:bCs/>
              </w:rPr>
              <w:t>№п</w:t>
            </w:r>
            <w:r w:rsidRPr="00E80BBD">
              <w:rPr>
                <w:rFonts w:ascii="Times New Roman" w:hAnsi="Times New Roman" w:cs="Times New Roman"/>
                <w:b/>
                <w:bCs/>
                <w:lang w:val="en-US"/>
              </w:rPr>
              <w:t>/</w:t>
            </w:r>
            <w:r w:rsidRPr="00E80BBD">
              <w:rPr>
                <w:rFonts w:ascii="Times New Roman" w:hAnsi="Times New Roman" w:cs="Times New Roman"/>
                <w:b/>
                <w:bCs/>
              </w:rPr>
              <w:t>п</w:t>
            </w:r>
          </w:p>
        </w:tc>
        <w:tc>
          <w:tcPr>
            <w:tcW w:w="1985" w:type="dxa"/>
            <w:hideMark/>
          </w:tcPr>
          <w:p w:rsidR="00950EEA" w:rsidRPr="00E80BBD" w:rsidRDefault="00950EEA" w:rsidP="005B1FCE">
            <w:pPr>
              <w:spacing w:after="0"/>
              <w:jc w:val="center"/>
              <w:rPr>
                <w:rFonts w:ascii="Times New Roman" w:hAnsi="Times New Roman" w:cs="Times New Roman"/>
                <w:b/>
                <w:bCs/>
              </w:rPr>
            </w:pPr>
            <w:r w:rsidRPr="00E80BBD">
              <w:rPr>
                <w:rFonts w:ascii="Times New Roman" w:hAnsi="Times New Roman" w:cs="Times New Roman"/>
                <w:b/>
                <w:bCs/>
              </w:rPr>
              <w:t>Наименование Товара</w:t>
            </w:r>
          </w:p>
        </w:tc>
        <w:tc>
          <w:tcPr>
            <w:tcW w:w="4961" w:type="dxa"/>
            <w:hideMark/>
          </w:tcPr>
          <w:p w:rsidR="00950EEA" w:rsidRPr="00E80BBD" w:rsidRDefault="00950EEA" w:rsidP="005B1FCE">
            <w:pPr>
              <w:spacing w:after="0"/>
              <w:jc w:val="center"/>
              <w:rPr>
                <w:rFonts w:ascii="Times New Roman" w:hAnsi="Times New Roman" w:cs="Times New Roman"/>
                <w:b/>
                <w:bCs/>
              </w:rPr>
            </w:pPr>
            <w:r w:rsidRPr="00E80BBD">
              <w:rPr>
                <w:rFonts w:ascii="Times New Roman" w:hAnsi="Times New Roman" w:cs="Times New Roman"/>
                <w:b/>
                <w:bCs/>
              </w:rPr>
              <w:t>Технические характеристики</w:t>
            </w:r>
          </w:p>
        </w:tc>
        <w:tc>
          <w:tcPr>
            <w:tcW w:w="1589" w:type="dxa"/>
          </w:tcPr>
          <w:p w:rsidR="00950EEA" w:rsidRPr="00E80BBD" w:rsidRDefault="00950EEA" w:rsidP="005B1FCE">
            <w:pPr>
              <w:spacing w:after="0" w:line="240" w:lineRule="auto"/>
              <w:jc w:val="center"/>
              <w:rPr>
                <w:rFonts w:ascii="Times New Roman" w:hAnsi="Times New Roman" w:cs="Times New Roman"/>
                <w:b/>
                <w:bCs/>
              </w:rPr>
            </w:pPr>
            <w:r w:rsidRPr="00E80BBD">
              <w:rPr>
                <w:rFonts w:ascii="Times New Roman" w:hAnsi="Times New Roman" w:cs="Times New Roman"/>
                <w:b/>
                <w:bCs/>
              </w:rPr>
              <w:t>ОКПД2</w:t>
            </w:r>
          </w:p>
          <w:p w:rsidR="00950EEA" w:rsidRPr="00E80BBD" w:rsidRDefault="00950EEA" w:rsidP="005B1FCE">
            <w:pPr>
              <w:spacing w:after="0" w:line="240" w:lineRule="auto"/>
              <w:jc w:val="center"/>
              <w:rPr>
                <w:rFonts w:ascii="Times New Roman" w:hAnsi="Times New Roman" w:cs="Times New Roman"/>
                <w:b/>
                <w:bCs/>
              </w:rPr>
            </w:pPr>
          </w:p>
        </w:tc>
        <w:tc>
          <w:tcPr>
            <w:tcW w:w="879" w:type="dxa"/>
          </w:tcPr>
          <w:p w:rsidR="00950EEA" w:rsidRPr="00E80BBD" w:rsidRDefault="00950EEA" w:rsidP="005B1FCE">
            <w:pPr>
              <w:spacing w:after="0" w:line="240" w:lineRule="auto"/>
              <w:jc w:val="center"/>
              <w:rPr>
                <w:rFonts w:ascii="Times New Roman" w:hAnsi="Times New Roman" w:cs="Times New Roman"/>
                <w:b/>
                <w:bCs/>
              </w:rPr>
            </w:pPr>
            <w:r w:rsidRPr="00E80BBD">
              <w:rPr>
                <w:rFonts w:ascii="Times New Roman" w:hAnsi="Times New Roman" w:cs="Times New Roman"/>
                <w:b/>
                <w:bCs/>
              </w:rPr>
              <w:t>Ед. изм.</w:t>
            </w:r>
          </w:p>
        </w:tc>
        <w:tc>
          <w:tcPr>
            <w:tcW w:w="851" w:type="dxa"/>
          </w:tcPr>
          <w:p w:rsidR="00950EEA" w:rsidRPr="00E80BBD" w:rsidRDefault="00950EEA" w:rsidP="005B1FCE">
            <w:pPr>
              <w:spacing w:after="0" w:line="240" w:lineRule="auto"/>
              <w:jc w:val="center"/>
              <w:rPr>
                <w:rFonts w:ascii="Times New Roman" w:hAnsi="Times New Roman" w:cs="Times New Roman"/>
                <w:b/>
                <w:bCs/>
              </w:rPr>
            </w:pPr>
            <w:r w:rsidRPr="00E80BBD">
              <w:rPr>
                <w:rFonts w:ascii="Times New Roman" w:hAnsi="Times New Roman" w:cs="Times New Roman"/>
                <w:b/>
                <w:bCs/>
              </w:rPr>
              <w:t>Кол-во</w:t>
            </w:r>
          </w:p>
          <w:p w:rsidR="00950EEA" w:rsidRPr="00E80BBD" w:rsidRDefault="00950EEA" w:rsidP="005B1FCE">
            <w:pPr>
              <w:spacing w:after="0" w:line="240" w:lineRule="auto"/>
              <w:jc w:val="center"/>
              <w:rPr>
                <w:rFonts w:ascii="Times New Roman" w:hAnsi="Times New Roman" w:cs="Times New Roman"/>
                <w:b/>
                <w:bCs/>
              </w:rPr>
            </w:pPr>
          </w:p>
        </w:tc>
        <w:tc>
          <w:tcPr>
            <w:tcW w:w="1786" w:type="dxa"/>
            <w:shd w:val="clear" w:color="auto" w:fill="FFFF00"/>
          </w:tcPr>
          <w:p w:rsidR="00950EEA" w:rsidRPr="00E80BBD" w:rsidRDefault="00950EEA" w:rsidP="005B1FCE">
            <w:pPr>
              <w:spacing w:after="0" w:line="240" w:lineRule="auto"/>
              <w:jc w:val="center"/>
              <w:rPr>
                <w:rFonts w:ascii="Times New Roman" w:hAnsi="Times New Roman" w:cs="Times New Roman"/>
                <w:b/>
                <w:bCs/>
              </w:rPr>
            </w:pPr>
            <w:r w:rsidRPr="00E80BBD">
              <w:rPr>
                <w:rFonts w:ascii="Times New Roman" w:hAnsi="Times New Roman" w:cs="Times New Roman"/>
                <w:b/>
                <w:bCs/>
              </w:rPr>
              <w:t>Страна</w:t>
            </w:r>
          </w:p>
          <w:p w:rsidR="00950EEA" w:rsidRPr="00E80BBD" w:rsidRDefault="00950EEA" w:rsidP="005B1FCE">
            <w:pPr>
              <w:spacing w:after="0" w:line="240" w:lineRule="auto"/>
              <w:jc w:val="center"/>
              <w:rPr>
                <w:rFonts w:ascii="Times New Roman" w:hAnsi="Times New Roman" w:cs="Times New Roman"/>
                <w:b/>
                <w:bCs/>
              </w:rPr>
            </w:pPr>
            <w:r w:rsidRPr="00E80BBD">
              <w:rPr>
                <w:rFonts w:ascii="Times New Roman" w:hAnsi="Times New Roman" w:cs="Times New Roman"/>
                <w:b/>
                <w:bCs/>
              </w:rPr>
              <w:t>происхождения</w:t>
            </w:r>
          </w:p>
        </w:tc>
        <w:tc>
          <w:tcPr>
            <w:tcW w:w="850" w:type="dxa"/>
            <w:shd w:val="clear" w:color="auto" w:fill="FFFF00"/>
          </w:tcPr>
          <w:p w:rsidR="00950EEA" w:rsidRPr="00E80BBD" w:rsidRDefault="00950EEA" w:rsidP="005B1FCE">
            <w:pPr>
              <w:widowControl w:val="0"/>
              <w:autoSpaceDE w:val="0"/>
              <w:autoSpaceDN w:val="0"/>
              <w:adjustRightInd w:val="0"/>
              <w:spacing w:after="0" w:line="240" w:lineRule="auto"/>
              <w:jc w:val="center"/>
              <w:rPr>
                <w:rFonts w:ascii="Times New Roman" w:hAnsi="Times New Roman" w:cs="Times New Roman"/>
                <w:b/>
              </w:rPr>
            </w:pPr>
            <w:r w:rsidRPr="00E80BBD">
              <w:rPr>
                <w:rFonts w:ascii="Times New Roman" w:hAnsi="Times New Roman" w:cs="Times New Roman"/>
                <w:b/>
              </w:rPr>
              <w:t>НДС %</w:t>
            </w:r>
          </w:p>
        </w:tc>
        <w:tc>
          <w:tcPr>
            <w:tcW w:w="1276" w:type="dxa"/>
            <w:shd w:val="clear" w:color="auto" w:fill="FFFF00"/>
          </w:tcPr>
          <w:p w:rsidR="00950EEA" w:rsidRPr="00E80BBD" w:rsidRDefault="00950EEA" w:rsidP="005B1FCE">
            <w:pPr>
              <w:widowControl w:val="0"/>
              <w:autoSpaceDE w:val="0"/>
              <w:autoSpaceDN w:val="0"/>
              <w:adjustRightInd w:val="0"/>
              <w:spacing w:after="0" w:line="240" w:lineRule="auto"/>
              <w:jc w:val="center"/>
              <w:rPr>
                <w:rFonts w:ascii="Times New Roman" w:hAnsi="Times New Roman" w:cs="Times New Roman"/>
                <w:b/>
              </w:rPr>
            </w:pPr>
            <w:r w:rsidRPr="00E80BBD">
              <w:rPr>
                <w:rFonts w:ascii="Times New Roman" w:hAnsi="Times New Roman" w:cs="Times New Roman"/>
                <w:b/>
              </w:rPr>
              <w:t>Цена за ед. Товара с НДС (руб.)</w:t>
            </w:r>
          </w:p>
        </w:tc>
        <w:tc>
          <w:tcPr>
            <w:tcW w:w="1305" w:type="dxa"/>
            <w:shd w:val="clear" w:color="auto" w:fill="FFFF00"/>
          </w:tcPr>
          <w:p w:rsidR="00950EEA" w:rsidRPr="00E80BBD" w:rsidRDefault="00950EEA" w:rsidP="005B1FCE">
            <w:pPr>
              <w:widowControl w:val="0"/>
              <w:autoSpaceDE w:val="0"/>
              <w:autoSpaceDN w:val="0"/>
              <w:adjustRightInd w:val="0"/>
              <w:spacing w:after="0" w:line="240" w:lineRule="auto"/>
              <w:jc w:val="center"/>
              <w:rPr>
                <w:rFonts w:ascii="Times New Roman" w:hAnsi="Times New Roman" w:cs="Times New Roman"/>
                <w:b/>
              </w:rPr>
            </w:pPr>
            <w:r w:rsidRPr="00E80BBD">
              <w:rPr>
                <w:rFonts w:ascii="Times New Roman" w:hAnsi="Times New Roman" w:cs="Times New Roman"/>
                <w:b/>
              </w:rPr>
              <w:t xml:space="preserve">Сумма с </w:t>
            </w:r>
          </w:p>
          <w:p w:rsidR="00950EEA" w:rsidRPr="00E80BBD" w:rsidRDefault="00950EEA" w:rsidP="005B1FCE">
            <w:pPr>
              <w:widowControl w:val="0"/>
              <w:autoSpaceDE w:val="0"/>
              <w:autoSpaceDN w:val="0"/>
              <w:adjustRightInd w:val="0"/>
              <w:spacing w:after="0" w:line="240" w:lineRule="auto"/>
              <w:jc w:val="center"/>
              <w:rPr>
                <w:rFonts w:ascii="Times New Roman" w:hAnsi="Times New Roman" w:cs="Times New Roman"/>
                <w:b/>
              </w:rPr>
            </w:pPr>
            <w:r w:rsidRPr="00E80BBD">
              <w:rPr>
                <w:rFonts w:ascii="Times New Roman" w:hAnsi="Times New Roman" w:cs="Times New Roman"/>
                <w:b/>
              </w:rPr>
              <w:t xml:space="preserve">НДС </w:t>
            </w:r>
          </w:p>
          <w:p w:rsidR="00950EEA" w:rsidRPr="00E80BBD" w:rsidRDefault="00950EEA" w:rsidP="005B1FCE">
            <w:pPr>
              <w:widowControl w:val="0"/>
              <w:autoSpaceDE w:val="0"/>
              <w:autoSpaceDN w:val="0"/>
              <w:adjustRightInd w:val="0"/>
              <w:spacing w:after="0" w:line="240" w:lineRule="auto"/>
              <w:jc w:val="center"/>
              <w:rPr>
                <w:rFonts w:ascii="Times New Roman" w:hAnsi="Times New Roman" w:cs="Times New Roman"/>
                <w:b/>
              </w:rPr>
            </w:pPr>
            <w:r w:rsidRPr="00E80BBD">
              <w:rPr>
                <w:rFonts w:ascii="Times New Roman" w:hAnsi="Times New Roman" w:cs="Times New Roman"/>
                <w:b/>
              </w:rPr>
              <w:t>(руб.)</w:t>
            </w:r>
          </w:p>
        </w:tc>
      </w:tr>
      <w:tr w:rsidR="00950EEA" w:rsidRPr="00E80BBD" w:rsidTr="005B1FCE">
        <w:trPr>
          <w:trHeight w:val="695"/>
        </w:trPr>
        <w:tc>
          <w:tcPr>
            <w:tcW w:w="851" w:type="dxa"/>
          </w:tcPr>
          <w:p w:rsidR="00950EEA" w:rsidRPr="00E80BBD" w:rsidRDefault="00950EEA" w:rsidP="005B1FCE">
            <w:pPr>
              <w:spacing w:after="0" w:line="240" w:lineRule="auto"/>
              <w:jc w:val="center"/>
              <w:rPr>
                <w:rFonts w:ascii="Times New Roman" w:hAnsi="Times New Roman" w:cs="Times New Roman"/>
              </w:rPr>
            </w:pPr>
            <w:r>
              <w:rPr>
                <w:rFonts w:ascii="Times New Roman" w:hAnsi="Times New Roman" w:cs="Times New Roman"/>
              </w:rPr>
              <w:t>1</w:t>
            </w:r>
          </w:p>
        </w:tc>
        <w:tc>
          <w:tcPr>
            <w:tcW w:w="1985" w:type="dxa"/>
          </w:tcPr>
          <w:p w:rsidR="00950EEA" w:rsidRPr="00F32CFC" w:rsidRDefault="00950EEA" w:rsidP="005B1FCE">
            <w:pPr>
              <w:spacing w:after="0" w:line="240" w:lineRule="auto"/>
              <w:rPr>
                <w:rFonts w:ascii="Times New Roman" w:hAnsi="Times New Roman" w:cs="Times New Roman"/>
              </w:rPr>
            </w:pPr>
            <w:r w:rsidRPr="00F32CFC">
              <w:rPr>
                <w:rFonts w:ascii="Times New Roman" w:hAnsi="Times New Roman" w:cs="Times New Roman"/>
              </w:rPr>
              <w:t>Жалюзи оконные</w:t>
            </w:r>
          </w:p>
        </w:tc>
        <w:tc>
          <w:tcPr>
            <w:tcW w:w="4961" w:type="dxa"/>
          </w:tcPr>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Вид материала ламелей: ткань</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Способ открывания/закрывания жалюзи: ручной</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Сырьевой состав ткани: синтетический</w:t>
            </w:r>
          </w:p>
          <w:p w:rsidR="00950EEA"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Тип жалюзи: вертикальные</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Состав ткани: полиэстер 100%</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Плотность ткани: 330 г/м²</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Светопроницаемость: блэкаут</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Цвет карниза: белый</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Материал карниза: металл</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Цвет фурнитуры: белый</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Наличие цепочки, соединяющей нижние части ламелей: да</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Утяжелители ламелей: пластиковые</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Цвет ламелей: бежевый</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Ширина*: 2</w:t>
            </w:r>
            <w:r>
              <w:rPr>
                <w:rFonts w:ascii="Times New Roman" w:hAnsi="Times New Roman" w:cs="Times New Roman"/>
              </w:rPr>
              <w:t xml:space="preserve"> </w:t>
            </w:r>
            <w:r w:rsidRPr="00F32CFC">
              <w:rPr>
                <w:rFonts w:ascii="Times New Roman" w:hAnsi="Times New Roman" w:cs="Times New Roman"/>
              </w:rPr>
              <w:t>320 мм</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Высота*: 2</w:t>
            </w:r>
            <w:r>
              <w:rPr>
                <w:rFonts w:ascii="Times New Roman" w:hAnsi="Times New Roman" w:cs="Times New Roman"/>
              </w:rPr>
              <w:t xml:space="preserve"> </w:t>
            </w:r>
            <w:r w:rsidRPr="00F32CFC">
              <w:rPr>
                <w:rFonts w:ascii="Times New Roman" w:hAnsi="Times New Roman" w:cs="Times New Roman"/>
              </w:rPr>
              <w:t>470 мм</w:t>
            </w:r>
          </w:p>
          <w:p w:rsidR="00F32CFC" w:rsidRDefault="00F32CFC" w:rsidP="00F32CFC">
            <w:pPr>
              <w:widowControl w:val="0"/>
              <w:autoSpaceDE w:val="0"/>
              <w:autoSpaceDN w:val="0"/>
              <w:adjustRightInd w:val="0"/>
              <w:spacing w:after="0" w:line="240" w:lineRule="auto"/>
              <w:rPr>
                <w:rFonts w:ascii="Times New Roman" w:hAnsi="Times New Roman"/>
              </w:rPr>
            </w:pPr>
            <w:r w:rsidRPr="00F32CFC">
              <w:rPr>
                <w:rFonts w:ascii="Times New Roman" w:hAnsi="Times New Roman"/>
              </w:rPr>
              <w:t>Тип раздвижки: от центра</w:t>
            </w:r>
          </w:p>
          <w:p w:rsidR="00F32CFC" w:rsidRDefault="00F32CFC" w:rsidP="00F32CFC">
            <w:pPr>
              <w:widowControl w:val="0"/>
              <w:autoSpaceDE w:val="0"/>
              <w:autoSpaceDN w:val="0"/>
              <w:adjustRightInd w:val="0"/>
              <w:spacing w:after="0" w:line="240" w:lineRule="auto"/>
              <w:rPr>
                <w:rFonts w:ascii="Times New Roman" w:hAnsi="Times New Roman"/>
              </w:rPr>
            </w:pPr>
            <w:r w:rsidRPr="00F32CFC">
              <w:rPr>
                <w:rFonts w:ascii="Times New Roman" w:hAnsi="Times New Roman"/>
              </w:rPr>
              <w:t>Сторона установки управления: Левая/</w:t>
            </w:r>
            <w:r>
              <w:rPr>
                <w:rFonts w:ascii="Times New Roman" w:hAnsi="Times New Roman"/>
              </w:rPr>
              <w:t xml:space="preserve"> </w:t>
            </w:r>
            <w:r w:rsidRPr="00F32CFC">
              <w:rPr>
                <w:rFonts w:ascii="Times New Roman" w:hAnsi="Times New Roman"/>
              </w:rPr>
              <w:t>правая (по согласованию с заказчиком)</w:t>
            </w:r>
          </w:p>
          <w:p w:rsidR="00F32CFC" w:rsidRPr="00F32CFC" w:rsidRDefault="00F32CFC" w:rsidP="00F32CFC">
            <w:pPr>
              <w:widowControl w:val="0"/>
              <w:autoSpaceDE w:val="0"/>
              <w:autoSpaceDN w:val="0"/>
              <w:adjustRightInd w:val="0"/>
              <w:spacing w:after="0" w:line="240" w:lineRule="auto"/>
              <w:rPr>
                <w:rFonts w:ascii="Times New Roman" w:hAnsi="Times New Roman"/>
              </w:rPr>
            </w:pPr>
            <w:r w:rsidRPr="00F32CFC">
              <w:rPr>
                <w:rFonts w:ascii="Times New Roman" w:hAnsi="Times New Roman"/>
              </w:rPr>
              <w:t>Тип монтажа: оконный проем</w:t>
            </w:r>
          </w:p>
          <w:p w:rsidR="00F32CFC" w:rsidRPr="00F32CFC" w:rsidRDefault="00F32CFC" w:rsidP="00F32CFC">
            <w:pPr>
              <w:tabs>
                <w:tab w:val="left" w:pos="3810"/>
              </w:tabs>
              <w:spacing w:after="0" w:line="240" w:lineRule="auto"/>
              <w:rPr>
                <w:rFonts w:ascii="Times New Roman" w:hAnsi="Times New Roman" w:cs="Times New Roman"/>
              </w:rPr>
            </w:pPr>
            <w:r w:rsidRPr="00F32CFC">
              <w:rPr>
                <w:rFonts w:ascii="Times New Roman" w:hAnsi="Times New Roman" w:cs="Times New Roman"/>
              </w:rPr>
              <w:t xml:space="preserve">Возможность обрабатывания дезинфицирующими средствами </w:t>
            </w:r>
          </w:p>
        </w:tc>
        <w:tc>
          <w:tcPr>
            <w:tcW w:w="1589" w:type="dxa"/>
          </w:tcPr>
          <w:p w:rsidR="00950EEA" w:rsidRPr="001A3FEC" w:rsidRDefault="00950EEA" w:rsidP="005B1FCE">
            <w:pPr>
              <w:spacing w:after="0" w:line="240" w:lineRule="auto"/>
              <w:jc w:val="center"/>
              <w:rPr>
                <w:rFonts w:ascii="Times New Roman" w:hAnsi="Times New Roman" w:cs="Times New Roman"/>
              </w:rPr>
            </w:pPr>
            <w:r w:rsidRPr="00950EEA">
              <w:rPr>
                <w:rFonts w:ascii="Times New Roman" w:hAnsi="Times New Roman" w:cs="Times New Roman"/>
              </w:rPr>
              <w:t>13.92.22.120</w:t>
            </w:r>
          </w:p>
        </w:tc>
        <w:tc>
          <w:tcPr>
            <w:tcW w:w="879" w:type="dxa"/>
          </w:tcPr>
          <w:p w:rsidR="00950EEA" w:rsidRPr="001A3FEC" w:rsidRDefault="00950EEA" w:rsidP="005B1FCE">
            <w:pPr>
              <w:jc w:val="center"/>
              <w:rPr>
                <w:rFonts w:ascii="Times New Roman" w:hAnsi="Times New Roman" w:cs="Times New Roman"/>
              </w:rPr>
            </w:pPr>
            <w:r w:rsidRPr="001A3FEC">
              <w:rPr>
                <w:rFonts w:ascii="Times New Roman" w:hAnsi="Times New Roman" w:cs="Times New Roman"/>
              </w:rPr>
              <w:t>шт</w:t>
            </w:r>
          </w:p>
        </w:tc>
        <w:tc>
          <w:tcPr>
            <w:tcW w:w="851" w:type="dxa"/>
          </w:tcPr>
          <w:p w:rsidR="00950EEA" w:rsidRPr="001A3FEC" w:rsidRDefault="00F32CFC" w:rsidP="005B1FCE">
            <w:pPr>
              <w:jc w:val="center"/>
              <w:rPr>
                <w:rFonts w:ascii="Times New Roman" w:hAnsi="Times New Roman" w:cs="Times New Roman"/>
              </w:rPr>
            </w:pPr>
            <w:r>
              <w:rPr>
                <w:rFonts w:ascii="Times New Roman" w:hAnsi="Times New Roman" w:cs="Times New Roman"/>
              </w:rPr>
              <w:t>1</w:t>
            </w:r>
          </w:p>
        </w:tc>
        <w:tc>
          <w:tcPr>
            <w:tcW w:w="1786" w:type="dxa"/>
            <w:shd w:val="clear" w:color="auto" w:fill="FFFF00"/>
          </w:tcPr>
          <w:p w:rsidR="00950EEA" w:rsidRPr="00E80BBD" w:rsidRDefault="00950EEA" w:rsidP="005B1FCE">
            <w:pPr>
              <w:spacing w:after="0" w:line="240" w:lineRule="auto"/>
              <w:jc w:val="center"/>
              <w:rPr>
                <w:rFonts w:ascii="Times New Roman" w:hAnsi="Times New Roman" w:cs="Times New Roman"/>
              </w:rPr>
            </w:pPr>
          </w:p>
        </w:tc>
        <w:tc>
          <w:tcPr>
            <w:tcW w:w="850" w:type="dxa"/>
            <w:shd w:val="clear" w:color="auto" w:fill="FFFF00"/>
          </w:tcPr>
          <w:p w:rsidR="00950EEA" w:rsidRPr="00E80BBD" w:rsidRDefault="00950EEA" w:rsidP="005B1FCE">
            <w:pPr>
              <w:autoSpaceDE w:val="0"/>
              <w:autoSpaceDN w:val="0"/>
              <w:adjustRightInd w:val="0"/>
              <w:spacing w:after="0" w:line="240" w:lineRule="auto"/>
              <w:jc w:val="center"/>
              <w:rPr>
                <w:rFonts w:ascii="Times New Roman" w:hAnsi="Times New Roman" w:cs="Times New Roman"/>
                <w:color w:val="000000"/>
              </w:rPr>
            </w:pPr>
          </w:p>
        </w:tc>
        <w:tc>
          <w:tcPr>
            <w:tcW w:w="1276" w:type="dxa"/>
            <w:shd w:val="clear" w:color="auto" w:fill="FFFF00"/>
          </w:tcPr>
          <w:p w:rsidR="00950EEA" w:rsidRPr="00E80BBD" w:rsidRDefault="00950EEA" w:rsidP="005B1FCE">
            <w:pPr>
              <w:autoSpaceDE w:val="0"/>
              <w:autoSpaceDN w:val="0"/>
              <w:adjustRightInd w:val="0"/>
              <w:spacing w:after="0" w:line="240" w:lineRule="auto"/>
              <w:jc w:val="center"/>
              <w:rPr>
                <w:rFonts w:ascii="Times New Roman" w:hAnsi="Times New Roman" w:cs="Times New Roman"/>
                <w:color w:val="000000"/>
              </w:rPr>
            </w:pPr>
          </w:p>
        </w:tc>
        <w:tc>
          <w:tcPr>
            <w:tcW w:w="1305" w:type="dxa"/>
            <w:shd w:val="clear" w:color="auto" w:fill="FFFF00"/>
          </w:tcPr>
          <w:p w:rsidR="00950EEA" w:rsidRPr="00E80BBD" w:rsidRDefault="00950EEA" w:rsidP="005B1FCE">
            <w:pPr>
              <w:autoSpaceDE w:val="0"/>
              <w:autoSpaceDN w:val="0"/>
              <w:adjustRightInd w:val="0"/>
              <w:spacing w:after="0" w:line="240" w:lineRule="auto"/>
              <w:jc w:val="center"/>
              <w:rPr>
                <w:rFonts w:ascii="Times New Roman" w:hAnsi="Times New Roman" w:cs="Times New Roman"/>
                <w:color w:val="000000"/>
              </w:rPr>
            </w:pPr>
          </w:p>
        </w:tc>
      </w:tr>
    </w:tbl>
    <w:p w:rsidR="00F32CFC" w:rsidRDefault="00F32CFC" w:rsidP="000820E3">
      <w:pPr>
        <w:rPr>
          <w:rFonts w:ascii="Times New Roman" w:hAnsi="Times New Roman" w:cs="Times New Roman"/>
          <w:b/>
          <w:sz w:val="28"/>
          <w:szCs w:val="28"/>
        </w:rPr>
      </w:pPr>
      <w:r>
        <w:rPr>
          <w:rFonts w:ascii="Times New Roman" w:hAnsi="Times New Roman" w:cs="Times New Roman"/>
          <w:b/>
          <w:sz w:val="28"/>
          <w:szCs w:val="28"/>
        </w:rPr>
        <w:t>*Указанные размеры являются предварительными и требуют дополнительных замеров представителем Поставщика</w:t>
      </w:r>
    </w:p>
    <w:p w:rsidR="00F32CFC" w:rsidRDefault="00F32CFC" w:rsidP="000820E3">
      <w:pPr>
        <w:rPr>
          <w:rFonts w:ascii="Times New Roman" w:hAnsi="Times New Roman" w:cs="Times New Roman"/>
          <w:b/>
          <w:sz w:val="28"/>
          <w:szCs w:val="28"/>
        </w:rPr>
      </w:pPr>
      <w:r w:rsidRPr="00F32CFC">
        <w:rPr>
          <w:rFonts w:ascii="Times New Roman" w:hAnsi="Times New Roman" w:cs="Times New Roman"/>
          <w:b/>
          <w:sz w:val="28"/>
          <w:szCs w:val="28"/>
        </w:rPr>
        <w:t>Стоимость жалюзи включает в себя необходимые замеры, изготовление, доставку, погрузо-разгрузочные работы, сборку и установку жалюзи в помещениях Покупателя, вывоз и утилизацию упаковочного материала.</w:t>
      </w:r>
    </w:p>
    <w:p w:rsidR="00F32CFC" w:rsidRDefault="00F32CFC" w:rsidP="000820E3">
      <w:pPr>
        <w:rPr>
          <w:rFonts w:ascii="Times New Roman" w:hAnsi="Times New Roman" w:cs="Times New Roman"/>
          <w:b/>
          <w:sz w:val="28"/>
          <w:szCs w:val="28"/>
        </w:rPr>
      </w:pPr>
    </w:p>
    <w:sectPr w:rsidR="00F32CFC" w:rsidSect="00950EEA">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826" w:rsidRDefault="00865826">
      <w:pPr>
        <w:spacing w:after="0" w:line="240" w:lineRule="auto"/>
      </w:pPr>
      <w:r>
        <w:separator/>
      </w:r>
    </w:p>
  </w:endnote>
  <w:endnote w:type="continuationSeparator" w:id="0">
    <w:p w:rsidR="00865826" w:rsidRDefault="0086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6851FB" w:rsidRDefault="006851FB">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6851FB">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851FB">
          <w:rPr>
            <w:noProof/>
          </w:rPr>
          <w:t>3</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6851F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6851F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826" w:rsidRDefault="00865826">
      <w:pPr>
        <w:spacing w:after="0" w:line="240" w:lineRule="auto"/>
      </w:pPr>
      <w:r>
        <w:separator/>
      </w:r>
    </w:p>
  </w:footnote>
  <w:footnote w:type="continuationSeparator" w:id="0">
    <w:p w:rsidR="00865826" w:rsidRDefault="0086582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6851FB" w:rsidRDefault="006851FB">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6851FB" w:rsidRDefault="006851FB">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6851FB" w:rsidRDefault="006851FB">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35F01"/>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851FB"/>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65826"/>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0EEA"/>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4860"/>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2CF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0EB567-0F09-4F19-B004-76050530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B54B6-6E8F-4CE3-AB96-D758885C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2023-11-23T14:09:00Z</dcterms:created>
  <dcterms:modified xsi:type="dcterms:W3CDTF">2023-11-23T14:09:00Z</dcterms:modified>
</cp:coreProperties>
</file>