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18.07.2025 № 05-07/1315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F6DD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22.09.2025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1509"/>
        <w:gridCol w:w="1244"/>
        <w:gridCol w:w="3365"/>
        <w:gridCol w:w="1349"/>
        <w:gridCol w:w="1349"/>
        <w:gridCol w:w="1349"/>
        <w:gridCol w:w="1190"/>
        <w:gridCol w:w="944"/>
        <w:gridCol w:w="565"/>
        <w:gridCol w:w="1091"/>
        <w:gridCol w:w="715"/>
        <w:gridCol w:w="577"/>
        <w:gridCol w:w="702"/>
      </w:tblGrid>
      <w:tr w:rsidR="00F503BA" w:rsidRPr="00F503BA" w:rsidTr="00F503BA">
        <w:trPr>
          <w:trHeight w:val="1035"/>
        </w:trPr>
        <w:tc>
          <w:tcPr>
            <w:tcW w:w="473" w:type="pct"/>
            <w:tcBorders>
              <w:top w:val="single" w:sz="8" w:space="0" w:color="auto"/>
              <w:left w:val="nil"/>
              <w:bottom w:val="single" w:sz="8" w:space="0" w:color="auto"/>
              <w:right w:val="nil"/>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b/>
                <w:bCs/>
                <w:lang w:eastAsia="ru-RU"/>
              </w:rPr>
            </w:pPr>
            <w:r w:rsidRPr="00F503BA">
              <w:rPr>
                <w:rFonts w:ascii="Times New Roman" w:eastAsia="Times New Roman" w:hAnsi="Times New Roman" w:cs="Times New Roman"/>
                <w:b/>
                <w:bCs/>
                <w:lang w:eastAsia="ru-RU"/>
              </w:rPr>
              <w:t>Наименование по КТРУ/ОКПД2</w:t>
            </w:r>
          </w:p>
        </w:tc>
        <w:tc>
          <w:tcPr>
            <w:tcW w:w="390" w:type="pct"/>
            <w:tcBorders>
              <w:top w:val="single" w:sz="8" w:space="0" w:color="auto"/>
              <w:left w:val="nil"/>
              <w:bottom w:val="single" w:sz="8" w:space="0" w:color="auto"/>
              <w:right w:val="nil"/>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Код КТРУ/ОКПД2</w:t>
            </w:r>
          </w:p>
        </w:tc>
        <w:tc>
          <w:tcPr>
            <w:tcW w:w="1055"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Наименование характеристики</w:t>
            </w:r>
          </w:p>
        </w:tc>
        <w:tc>
          <w:tcPr>
            <w:tcW w:w="423" w:type="pct"/>
            <w:tcBorders>
              <w:top w:val="single" w:sz="8" w:space="0" w:color="auto"/>
              <w:left w:val="nil"/>
              <w:bottom w:val="single" w:sz="8" w:space="0" w:color="auto"/>
              <w:right w:val="single" w:sz="4" w:space="0" w:color="auto"/>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Значение характеристики</w:t>
            </w:r>
          </w:p>
        </w:tc>
        <w:tc>
          <w:tcPr>
            <w:tcW w:w="423" w:type="pct"/>
            <w:tcBorders>
              <w:top w:val="single" w:sz="8" w:space="0" w:color="auto"/>
              <w:left w:val="nil"/>
              <w:bottom w:val="single" w:sz="8" w:space="0" w:color="auto"/>
              <w:right w:val="single" w:sz="4" w:space="0" w:color="auto"/>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Единица измерения характеристики</w:t>
            </w:r>
          </w:p>
        </w:tc>
        <w:tc>
          <w:tcPr>
            <w:tcW w:w="423" w:type="pct"/>
            <w:tcBorders>
              <w:top w:val="single" w:sz="8" w:space="0" w:color="auto"/>
              <w:left w:val="nil"/>
              <w:bottom w:val="single" w:sz="8" w:space="0" w:color="auto"/>
              <w:right w:val="single" w:sz="4" w:space="0" w:color="auto"/>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Инструкция по заполнению характеристик в заявке</w:t>
            </w:r>
          </w:p>
        </w:tc>
        <w:tc>
          <w:tcPr>
            <w:tcW w:w="373" w:type="pct"/>
            <w:tcBorders>
              <w:top w:val="single" w:sz="8" w:space="0" w:color="auto"/>
              <w:left w:val="nil"/>
              <w:bottom w:val="single" w:sz="8" w:space="0" w:color="auto"/>
              <w:right w:val="single" w:sz="4" w:space="0" w:color="auto"/>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Обоснование</w:t>
            </w:r>
          </w:p>
        </w:tc>
        <w:tc>
          <w:tcPr>
            <w:tcW w:w="296" w:type="pct"/>
            <w:tcBorders>
              <w:top w:val="single" w:sz="8" w:space="0" w:color="auto"/>
              <w:left w:val="nil"/>
              <w:bottom w:val="single" w:sz="8" w:space="0" w:color="auto"/>
              <w:right w:val="single" w:sz="4" w:space="0" w:color="auto"/>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Ед. изм.</w:t>
            </w:r>
          </w:p>
        </w:tc>
        <w:tc>
          <w:tcPr>
            <w:tcW w:w="177" w:type="pct"/>
            <w:tcBorders>
              <w:top w:val="single" w:sz="8" w:space="0" w:color="auto"/>
              <w:left w:val="nil"/>
              <w:bottom w:val="single" w:sz="8" w:space="0" w:color="auto"/>
              <w:right w:val="nil"/>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Кол-во</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Страна происхождения Товара</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Ставка НДС%</w:t>
            </w:r>
          </w:p>
        </w:tc>
        <w:tc>
          <w:tcPr>
            <w:tcW w:w="181" w:type="pct"/>
            <w:tcBorders>
              <w:top w:val="single" w:sz="4" w:space="0" w:color="auto"/>
              <w:left w:val="nil"/>
              <w:bottom w:val="single" w:sz="4" w:space="0" w:color="auto"/>
              <w:right w:val="single" w:sz="4" w:space="0" w:color="auto"/>
            </w:tcBorders>
            <w:shd w:val="clear" w:color="auto" w:fill="auto"/>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Цена за ед. без НДС</w:t>
            </w:r>
          </w:p>
        </w:tc>
        <w:tc>
          <w:tcPr>
            <w:tcW w:w="220" w:type="pct"/>
            <w:tcBorders>
              <w:top w:val="single" w:sz="4" w:space="0" w:color="auto"/>
              <w:left w:val="nil"/>
              <w:bottom w:val="single" w:sz="4" w:space="0" w:color="auto"/>
              <w:right w:val="single" w:sz="4" w:space="0" w:color="auto"/>
            </w:tcBorders>
            <w:shd w:val="clear" w:color="auto" w:fill="auto"/>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Сумма без НДС</w:t>
            </w:r>
          </w:p>
        </w:tc>
      </w:tr>
      <w:tr w:rsidR="00F503BA" w:rsidRPr="00F503BA" w:rsidTr="00F503BA">
        <w:trPr>
          <w:trHeight w:val="1275"/>
        </w:trPr>
        <w:tc>
          <w:tcPr>
            <w:tcW w:w="473" w:type="pct"/>
            <w:vMerge w:val="restart"/>
            <w:tcBorders>
              <w:top w:val="nil"/>
              <w:left w:val="single" w:sz="4" w:space="0" w:color="auto"/>
              <w:bottom w:val="single" w:sz="8" w:space="0" w:color="000000"/>
              <w:right w:val="single" w:sz="4" w:space="0" w:color="auto"/>
            </w:tcBorders>
            <w:shd w:val="clear" w:color="auto" w:fill="auto"/>
            <w:hideMark/>
          </w:tcPr>
          <w:p w:rsidR="00F503BA" w:rsidRPr="00F503BA" w:rsidRDefault="00F503BA" w:rsidP="00F503BA">
            <w:pPr>
              <w:spacing w:after="0" w:line="240" w:lineRule="auto"/>
              <w:jc w:val="center"/>
              <w:rPr>
                <w:rFonts w:ascii="Times New Roman" w:eastAsia="Times New Roman" w:hAnsi="Times New Roman" w:cs="Times New Roman"/>
                <w:b/>
                <w:bCs/>
                <w:lang w:eastAsia="ru-RU"/>
              </w:rPr>
            </w:pPr>
            <w:r w:rsidRPr="00F503BA">
              <w:rPr>
                <w:rFonts w:ascii="Times New Roman" w:eastAsia="Times New Roman" w:hAnsi="Times New Roman" w:cs="Times New Roman"/>
                <w:b/>
                <w:bCs/>
                <w:lang w:eastAsia="ru-RU"/>
              </w:rPr>
              <w:t>Активированное время свертывания крови ИВД, реагент</w:t>
            </w:r>
          </w:p>
        </w:tc>
        <w:tc>
          <w:tcPr>
            <w:tcW w:w="390" w:type="pct"/>
            <w:vMerge w:val="restart"/>
            <w:tcBorders>
              <w:top w:val="nil"/>
              <w:left w:val="single" w:sz="4" w:space="0" w:color="auto"/>
              <w:bottom w:val="single" w:sz="8" w:space="0" w:color="000000"/>
              <w:right w:val="single" w:sz="4" w:space="0" w:color="auto"/>
            </w:tcBorders>
            <w:shd w:val="clear" w:color="auto" w:fill="auto"/>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21.20.23.110-00004796*</w:t>
            </w:r>
          </w:p>
        </w:tc>
        <w:tc>
          <w:tcPr>
            <w:tcW w:w="1055" w:type="pct"/>
            <w:tcBorders>
              <w:top w:val="single" w:sz="4" w:space="0" w:color="auto"/>
              <w:left w:val="nil"/>
              <w:bottom w:val="single" w:sz="4" w:space="0" w:color="auto"/>
              <w:right w:val="single" w:sz="4" w:space="0" w:color="auto"/>
            </w:tcBorders>
            <w:shd w:val="clear" w:color="auto" w:fill="auto"/>
            <w:noWrap/>
            <w:vAlign w:val="center"/>
            <w:hideMark/>
          </w:tcPr>
          <w:p w:rsidR="00F503BA" w:rsidRPr="00F503BA" w:rsidRDefault="00F503BA" w:rsidP="00F503BA">
            <w:pPr>
              <w:spacing w:after="0" w:line="240" w:lineRule="auto"/>
              <w:rPr>
                <w:rFonts w:ascii="Times New Roman" w:eastAsia="Times New Roman" w:hAnsi="Times New Roman" w:cs="Times New Roman"/>
                <w:b/>
                <w:bCs/>
                <w:lang w:eastAsia="ru-RU"/>
              </w:rPr>
            </w:pPr>
            <w:r w:rsidRPr="00F503BA">
              <w:rPr>
                <w:rFonts w:ascii="Times New Roman" w:eastAsia="Times New Roman" w:hAnsi="Times New Roman" w:cs="Times New Roman"/>
                <w:b/>
                <w:bCs/>
                <w:lang w:eastAsia="ru-RU"/>
              </w:rPr>
              <w:t>Характеристики товаров согласно КТРУ</w:t>
            </w:r>
          </w:p>
        </w:tc>
        <w:tc>
          <w:tcPr>
            <w:tcW w:w="423" w:type="pct"/>
            <w:tcBorders>
              <w:top w:val="single" w:sz="4" w:space="0" w:color="auto"/>
              <w:left w:val="nil"/>
              <w:bottom w:val="single" w:sz="4" w:space="0" w:color="auto"/>
              <w:right w:val="single" w:sz="4" w:space="0" w:color="auto"/>
            </w:tcBorders>
            <w:shd w:val="clear" w:color="auto" w:fill="auto"/>
            <w:hideMark/>
          </w:tcPr>
          <w:p w:rsidR="00F503BA" w:rsidRPr="00F503BA" w:rsidRDefault="00F503BA" w:rsidP="00F503BA">
            <w:pPr>
              <w:spacing w:after="0" w:line="240" w:lineRule="auto"/>
              <w:rPr>
                <w:rFonts w:ascii="Times New Roman" w:eastAsia="Times New Roman" w:hAnsi="Times New Roman" w:cs="Times New Roman"/>
                <w:b/>
                <w:bCs/>
                <w:lang w:eastAsia="ru-RU"/>
              </w:rPr>
            </w:pPr>
            <w:r w:rsidRPr="00F503BA">
              <w:rPr>
                <w:rFonts w:ascii="Times New Roman" w:eastAsia="Times New Roman" w:hAnsi="Times New Roman" w:cs="Times New Roman"/>
                <w:b/>
                <w:bCs/>
                <w:lang w:eastAsia="ru-RU"/>
              </w:rPr>
              <w:t> </w:t>
            </w:r>
          </w:p>
        </w:tc>
        <w:tc>
          <w:tcPr>
            <w:tcW w:w="423" w:type="pct"/>
            <w:tcBorders>
              <w:top w:val="single" w:sz="4" w:space="0" w:color="auto"/>
              <w:left w:val="nil"/>
              <w:bottom w:val="single" w:sz="4" w:space="0" w:color="auto"/>
              <w:right w:val="single" w:sz="4" w:space="0" w:color="auto"/>
            </w:tcBorders>
            <w:shd w:val="clear" w:color="auto" w:fill="auto"/>
            <w:vAlign w:val="center"/>
            <w:hideMark/>
          </w:tcPr>
          <w:p w:rsidR="00F503BA" w:rsidRPr="00F503BA" w:rsidRDefault="00F503BA" w:rsidP="00F503BA">
            <w:pPr>
              <w:spacing w:after="0" w:line="240" w:lineRule="auto"/>
              <w:rPr>
                <w:rFonts w:ascii="Times New Roman" w:eastAsia="Times New Roman" w:hAnsi="Times New Roman" w:cs="Times New Roman"/>
                <w:b/>
                <w:bCs/>
                <w:lang w:eastAsia="ru-RU"/>
              </w:rPr>
            </w:pPr>
            <w:r w:rsidRPr="00F503BA">
              <w:rPr>
                <w:rFonts w:ascii="Times New Roman" w:eastAsia="Times New Roman" w:hAnsi="Times New Roman" w:cs="Times New Roman"/>
                <w:b/>
                <w:bCs/>
                <w:lang w:eastAsia="ru-RU"/>
              </w:rPr>
              <w:t> </w:t>
            </w:r>
          </w:p>
        </w:tc>
        <w:tc>
          <w:tcPr>
            <w:tcW w:w="423" w:type="pct"/>
            <w:tcBorders>
              <w:top w:val="single" w:sz="4" w:space="0" w:color="auto"/>
              <w:left w:val="nil"/>
              <w:bottom w:val="single" w:sz="4" w:space="0" w:color="auto"/>
              <w:right w:val="single" w:sz="4" w:space="0" w:color="auto"/>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b/>
                <w:bCs/>
                <w:lang w:eastAsia="ru-RU"/>
              </w:rPr>
            </w:pPr>
            <w:r w:rsidRPr="00F503BA">
              <w:rPr>
                <w:rFonts w:ascii="Times New Roman" w:eastAsia="Times New Roman" w:hAnsi="Times New Roman" w:cs="Times New Roman"/>
                <w:b/>
                <w:bCs/>
                <w:lang w:eastAsia="ru-RU"/>
              </w:rPr>
              <w:t> </w:t>
            </w:r>
          </w:p>
        </w:tc>
        <w:tc>
          <w:tcPr>
            <w:tcW w:w="373" w:type="pct"/>
            <w:tcBorders>
              <w:top w:val="single" w:sz="4" w:space="0" w:color="auto"/>
              <w:left w:val="nil"/>
              <w:bottom w:val="single" w:sz="4" w:space="0" w:color="auto"/>
              <w:right w:val="single" w:sz="4" w:space="0" w:color="auto"/>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b/>
                <w:bCs/>
                <w:lang w:eastAsia="ru-RU"/>
              </w:rPr>
            </w:pPr>
            <w:r w:rsidRPr="00F503BA">
              <w:rPr>
                <w:rFonts w:ascii="Times New Roman" w:eastAsia="Times New Roman" w:hAnsi="Times New Roman" w:cs="Times New Roman"/>
                <w:b/>
                <w:bCs/>
                <w:lang w:eastAsia="ru-RU"/>
              </w:rPr>
              <w:t> </w:t>
            </w:r>
          </w:p>
        </w:tc>
        <w:tc>
          <w:tcPr>
            <w:tcW w:w="296" w:type="pct"/>
            <w:vMerge w:val="restart"/>
            <w:tcBorders>
              <w:top w:val="nil"/>
              <w:left w:val="single" w:sz="4" w:space="0" w:color="auto"/>
              <w:bottom w:val="single" w:sz="8" w:space="0" w:color="000000"/>
              <w:right w:val="single" w:sz="4" w:space="0" w:color="auto"/>
            </w:tcBorders>
            <w:shd w:val="clear" w:color="auto" w:fill="auto"/>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Штука</w:t>
            </w:r>
          </w:p>
        </w:tc>
        <w:tc>
          <w:tcPr>
            <w:tcW w:w="177" w:type="pct"/>
            <w:vMerge w:val="restart"/>
            <w:tcBorders>
              <w:top w:val="nil"/>
              <w:left w:val="single" w:sz="4" w:space="0" w:color="auto"/>
              <w:bottom w:val="single" w:sz="8" w:space="0" w:color="000000"/>
              <w:right w:val="single" w:sz="4" w:space="0" w:color="auto"/>
            </w:tcBorders>
            <w:shd w:val="clear" w:color="auto" w:fill="auto"/>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125</w:t>
            </w:r>
          </w:p>
        </w:tc>
        <w:tc>
          <w:tcPr>
            <w:tcW w:w="34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 </w:t>
            </w:r>
          </w:p>
        </w:tc>
        <w:tc>
          <w:tcPr>
            <w:tcW w:w="22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 </w:t>
            </w:r>
          </w:p>
        </w:tc>
        <w:tc>
          <w:tcPr>
            <w:tcW w:w="18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 </w:t>
            </w:r>
          </w:p>
        </w:tc>
        <w:tc>
          <w:tcPr>
            <w:tcW w:w="22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 </w:t>
            </w:r>
          </w:p>
        </w:tc>
      </w:tr>
      <w:tr w:rsidR="00F503BA" w:rsidRPr="00F503BA" w:rsidTr="00F503BA">
        <w:trPr>
          <w:trHeight w:val="765"/>
        </w:trPr>
        <w:tc>
          <w:tcPr>
            <w:tcW w:w="473"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b/>
                <w:bCs/>
                <w:lang w:eastAsia="ru-RU"/>
              </w:rPr>
            </w:pPr>
          </w:p>
        </w:tc>
        <w:tc>
          <w:tcPr>
            <w:tcW w:w="390"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1055" w:type="pct"/>
            <w:tcBorders>
              <w:top w:val="nil"/>
              <w:left w:val="nil"/>
              <w:bottom w:val="single" w:sz="4" w:space="0" w:color="auto"/>
              <w:right w:val="single" w:sz="4" w:space="0" w:color="auto"/>
            </w:tcBorders>
            <w:shd w:val="clear" w:color="auto" w:fill="auto"/>
            <w:noWrap/>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Назначение</w:t>
            </w:r>
          </w:p>
        </w:tc>
        <w:tc>
          <w:tcPr>
            <w:tcW w:w="423" w:type="pct"/>
            <w:tcBorders>
              <w:top w:val="nil"/>
              <w:left w:val="nil"/>
              <w:bottom w:val="single" w:sz="4" w:space="0" w:color="auto"/>
              <w:right w:val="single" w:sz="4" w:space="0" w:color="auto"/>
            </w:tcBorders>
            <w:shd w:val="clear" w:color="auto" w:fill="auto"/>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Для анализаторов серии i-STAT</w:t>
            </w:r>
          </w:p>
        </w:tc>
        <w:tc>
          <w:tcPr>
            <w:tcW w:w="423" w:type="pct"/>
            <w:tcBorders>
              <w:top w:val="nil"/>
              <w:left w:val="nil"/>
              <w:bottom w:val="single" w:sz="4" w:space="0" w:color="auto"/>
              <w:right w:val="single" w:sz="4" w:space="0" w:color="auto"/>
            </w:tcBorders>
            <w:shd w:val="clear" w:color="auto" w:fill="auto"/>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 </w:t>
            </w:r>
          </w:p>
        </w:tc>
        <w:tc>
          <w:tcPr>
            <w:tcW w:w="423" w:type="pct"/>
            <w:tcBorders>
              <w:top w:val="nil"/>
              <w:left w:val="nil"/>
              <w:bottom w:val="single" w:sz="4" w:space="0" w:color="auto"/>
              <w:right w:val="single" w:sz="4" w:space="0" w:color="auto"/>
            </w:tcBorders>
            <w:shd w:val="clear" w:color="auto" w:fill="auto"/>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Значение характеристики не может изменяться участником закупки</w:t>
            </w:r>
          </w:p>
        </w:tc>
        <w:tc>
          <w:tcPr>
            <w:tcW w:w="373" w:type="pct"/>
            <w:tcBorders>
              <w:top w:val="nil"/>
              <w:left w:val="nil"/>
              <w:bottom w:val="single" w:sz="4" w:space="0" w:color="auto"/>
              <w:right w:val="single" w:sz="4" w:space="0" w:color="auto"/>
            </w:tcBorders>
            <w:shd w:val="clear" w:color="auto" w:fill="auto"/>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В соответствии с КТРУ</w:t>
            </w:r>
          </w:p>
        </w:tc>
        <w:tc>
          <w:tcPr>
            <w:tcW w:w="296"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177"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342"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r>
      <w:tr w:rsidR="00F503BA" w:rsidRPr="00F503BA" w:rsidTr="00F503BA">
        <w:trPr>
          <w:trHeight w:val="765"/>
        </w:trPr>
        <w:tc>
          <w:tcPr>
            <w:tcW w:w="473"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b/>
                <w:bCs/>
                <w:lang w:eastAsia="ru-RU"/>
              </w:rPr>
            </w:pPr>
          </w:p>
        </w:tc>
        <w:tc>
          <w:tcPr>
            <w:tcW w:w="390"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1055" w:type="pct"/>
            <w:tcBorders>
              <w:top w:val="nil"/>
              <w:left w:val="nil"/>
              <w:bottom w:val="single" w:sz="4" w:space="0" w:color="auto"/>
              <w:right w:val="single" w:sz="4" w:space="0" w:color="auto"/>
            </w:tcBorders>
            <w:shd w:val="clear" w:color="auto" w:fill="auto"/>
            <w:noWrap/>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Количество выполняемых исследований</w:t>
            </w:r>
          </w:p>
        </w:tc>
        <w:tc>
          <w:tcPr>
            <w:tcW w:w="423" w:type="pct"/>
            <w:tcBorders>
              <w:top w:val="nil"/>
              <w:left w:val="nil"/>
              <w:bottom w:val="single" w:sz="4" w:space="0" w:color="auto"/>
              <w:right w:val="single" w:sz="4" w:space="0" w:color="auto"/>
            </w:tcBorders>
            <w:shd w:val="clear" w:color="auto" w:fill="auto"/>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 24.0  и  ≤ 25.0</w:t>
            </w:r>
          </w:p>
        </w:tc>
        <w:tc>
          <w:tcPr>
            <w:tcW w:w="423" w:type="pct"/>
            <w:tcBorders>
              <w:top w:val="nil"/>
              <w:left w:val="nil"/>
              <w:bottom w:val="single" w:sz="4" w:space="0" w:color="auto"/>
              <w:right w:val="single" w:sz="4" w:space="0" w:color="auto"/>
            </w:tcBorders>
            <w:shd w:val="clear" w:color="auto" w:fill="auto"/>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Штука</w:t>
            </w:r>
          </w:p>
        </w:tc>
        <w:tc>
          <w:tcPr>
            <w:tcW w:w="423" w:type="pct"/>
            <w:tcBorders>
              <w:top w:val="nil"/>
              <w:left w:val="nil"/>
              <w:bottom w:val="single" w:sz="4" w:space="0" w:color="auto"/>
              <w:right w:val="single" w:sz="4" w:space="0" w:color="auto"/>
            </w:tcBorders>
            <w:shd w:val="clear" w:color="auto" w:fill="auto"/>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Указывают в заявке конкретное значение характеристики</w:t>
            </w:r>
          </w:p>
        </w:tc>
        <w:tc>
          <w:tcPr>
            <w:tcW w:w="373" w:type="pct"/>
            <w:tcBorders>
              <w:top w:val="nil"/>
              <w:left w:val="nil"/>
              <w:bottom w:val="single" w:sz="4" w:space="0" w:color="auto"/>
              <w:right w:val="single" w:sz="4" w:space="0" w:color="auto"/>
            </w:tcBorders>
            <w:shd w:val="clear" w:color="auto" w:fill="auto"/>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В соответствии с КТРУ</w:t>
            </w:r>
          </w:p>
        </w:tc>
        <w:tc>
          <w:tcPr>
            <w:tcW w:w="296"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177"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342"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r>
      <w:tr w:rsidR="00F503BA" w:rsidRPr="00F503BA" w:rsidTr="00F503BA">
        <w:trPr>
          <w:trHeight w:val="300"/>
        </w:trPr>
        <w:tc>
          <w:tcPr>
            <w:tcW w:w="473"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b/>
                <w:bCs/>
                <w:lang w:eastAsia="ru-RU"/>
              </w:rPr>
            </w:pPr>
          </w:p>
        </w:tc>
        <w:tc>
          <w:tcPr>
            <w:tcW w:w="390"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1055" w:type="pct"/>
            <w:tcBorders>
              <w:top w:val="nil"/>
              <w:left w:val="nil"/>
              <w:bottom w:val="single" w:sz="4" w:space="0" w:color="auto"/>
              <w:right w:val="single" w:sz="4" w:space="0" w:color="auto"/>
            </w:tcBorders>
            <w:shd w:val="clear" w:color="auto" w:fill="auto"/>
            <w:noWrap/>
            <w:vAlign w:val="center"/>
            <w:hideMark/>
          </w:tcPr>
          <w:p w:rsidR="00F503BA" w:rsidRPr="00F503BA" w:rsidRDefault="00F503BA" w:rsidP="00F503BA">
            <w:pPr>
              <w:spacing w:after="0" w:line="240" w:lineRule="auto"/>
              <w:rPr>
                <w:rFonts w:ascii="Times New Roman" w:eastAsia="Times New Roman" w:hAnsi="Times New Roman" w:cs="Times New Roman"/>
                <w:b/>
                <w:bCs/>
                <w:lang w:eastAsia="ru-RU"/>
              </w:rPr>
            </w:pPr>
            <w:r w:rsidRPr="00F503BA">
              <w:rPr>
                <w:rFonts w:ascii="Times New Roman" w:eastAsia="Times New Roman" w:hAnsi="Times New Roman" w:cs="Times New Roman"/>
                <w:b/>
                <w:bCs/>
                <w:lang w:eastAsia="ru-RU"/>
              </w:rPr>
              <w:t>Дополнительные характеристики</w:t>
            </w:r>
          </w:p>
        </w:tc>
        <w:tc>
          <w:tcPr>
            <w:tcW w:w="423" w:type="pct"/>
            <w:tcBorders>
              <w:top w:val="nil"/>
              <w:left w:val="nil"/>
              <w:bottom w:val="single" w:sz="4" w:space="0" w:color="auto"/>
              <w:right w:val="single" w:sz="4" w:space="0" w:color="auto"/>
            </w:tcBorders>
            <w:shd w:val="clear" w:color="auto" w:fill="auto"/>
            <w:hideMark/>
          </w:tcPr>
          <w:p w:rsidR="00F503BA" w:rsidRPr="00F503BA" w:rsidRDefault="00F503BA" w:rsidP="00F503BA">
            <w:pPr>
              <w:spacing w:after="0" w:line="240" w:lineRule="auto"/>
              <w:rPr>
                <w:rFonts w:ascii="Times New Roman" w:eastAsia="Times New Roman" w:hAnsi="Times New Roman" w:cs="Times New Roman"/>
                <w:b/>
                <w:bCs/>
                <w:lang w:eastAsia="ru-RU"/>
              </w:rPr>
            </w:pPr>
            <w:r w:rsidRPr="00F503BA">
              <w:rPr>
                <w:rFonts w:ascii="Times New Roman" w:eastAsia="Times New Roman" w:hAnsi="Times New Roman" w:cs="Times New Roman"/>
                <w:b/>
                <w:bCs/>
                <w:lang w:eastAsia="ru-RU"/>
              </w:rPr>
              <w:t> </w:t>
            </w:r>
          </w:p>
        </w:tc>
        <w:tc>
          <w:tcPr>
            <w:tcW w:w="423" w:type="pct"/>
            <w:tcBorders>
              <w:top w:val="nil"/>
              <w:left w:val="nil"/>
              <w:bottom w:val="single" w:sz="4" w:space="0" w:color="auto"/>
              <w:right w:val="single" w:sz="4" w:space="0" w:color="auto"/>
            </w:tcBorders>
            <w:shd w:val="clear" w:color="auto" w:fill="auto"/>
            <w:vAlign w:val="center"/>
            <w:hideMark/>
          </w:tcPr>
          <w:p w:rsidR="00F503BA" w:rsidRPr="00F503BA" w:rsidRDefault="00F503BA" w:rsidP="00F503BA">
            <w:pPr>
              <w:spacing w:after="0" w:line="240" w:lineRule="auto"/>
              <w:rPr>
                <w:rFonts w:ascii="Times New Roman" w:eastAsia="Times New Roman" w:hAnsi="Times New Roman" w:cs="Times New Roman"/>
                <w:b/>
                <w:bCs/>
                <w:lang w:eastAsia="ru-RU"/>
              </w:rPr>
            </w:pPr>
            <w:r w:rsidRPr="00F503BA">
              <w:rPr>
                <w:rFonts w:ascii="Times New Roman" w:eastAsia="Times New Roman" w:hAnsi="Times New Roman" w:cs="Times New Roman"/>
                <w:b/>
                <w:bCs/>
                <w:lang w:eastAsia="ru-RU"/>
              </w:rPr>
              <w:t> </w:t>
            </w:r>
          </w:p>
        </w:tc>
        <w:tc>
          <w:tcPr>
            <w:tcW w:w="423" w:type="pct"/>
            <w:tcBorders>
              <w:top w:val="nil"/>
              <w:left w:val="nil"/>
              <w:bottom w:val="single" w:sz="4" w:space="0" w:color="auto"/>
              <w:right w:val="single" w:sz="4" w:space="0" w:color="auto"/>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b/>
                <w:bCs/>
                <w:lang w:eastAsia="ru-RU"/>
              </w:rPr>
            </w:pPr>
            <w:r w:rsidRPr="00F503BA">
              <w:rPr>
                <w:rFonts w:ascii="Times New Roman" w:eastAsia="Times New Roman" w:hAnsi="Times New Roman" w:cs="Times New Roman"/>
                <w:b/>
                <w:bCs/>
                <w:lang w:eastAsia="ru-RU"/>
              </w:rPr>
              <w:t> </w:t>
            </w:r>
          </w:p>
        </w:tc>
        <w:tc>
          <w:tcPr>
            <w:tcW w:w="373" w:type="pct"/>
            <w:tcBorders>
              <w:top w:val="nil"/>
              <w:left w:val="nil"/>
              <w:bottom w:val="single" w:sz="4" w:space="0" w:color="auto"/>
              <w:right w:val="single" w:sz="4" w:space="0" w:color="auto"/>
            </w:tcBorders>
            <w:shd w:val="clear" w:color="auto" w:fill="auto"/>
            <w:vAlign w:val="center"/>
            <w:hideMark/>
          </w:tcPr>
          <w:p w:rsidR="00F503BA" w:rsidRPr="00F503BA" w:rsidRDefault="00F503BA" w:rsidP="00F503BA">
            <w:pPr>
              <w:spacing w:after="0" w:line="240" w:lineRule="auto"/>
              <w:jc w:val="center"/>
              <w:rPr>
                <w:rFonts w:ascii="Times New Roman" w:eastAsia="Times New Roman" w:hAnsi="Times New Roman" w:cs="Times New Roman"/>
                <w:b/>
                <w:bCs/>
                <w:lang w:eastAsia="ru-RU"/>
              </w:rPr>
            </w:pPr>
            <w:r w:rsidRPr="00F503BA">
              <w:rPr>
                <w:rFonts w:ascii="Times New Roman" w:eastAsia="Times New Roman" w:hAnsi="Times New Roman" w:cs="Times New Roman"/>
                <w:b/>
                <w:bCs/>
                <w:lang w:eastAsia="ru-RU"/>
              </w:rPr>
              <w:t> </w:t>
            </w:r>
          </w:p>
        </w:tc>
        <w:tc>
          <w:tcPr>
            <w:tcW w:w="296"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177"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342"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r>
      <w:tr w:rsidR="00F503BA" w:rsidRPr="00F503BA" w:rsidTr="00F503BA">
        <w:trPr>
          <w:trHeight w:val="780"/>
        </w:trPr>
        <w:tc>
          <w:tcPr>
            <w:tcW w:w="473"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b/>
                <w:bCs/>
                <w:lang w:eastAsia="ru-RU"/>
              </w:rPr>
            </w:pPr>
          </w:p>
        </w:tc>
        <w:tc>
          <w:tcPr>
            <w:tcW w:w="390"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1055" w:type="pct"/>
            <w:tcBorders>
              <w:top w:val="nil"/>
              <w:left w:val="nil"/>
              <w:bottom w:val="single" w:sz="8" w:space="0" w:color="auto"/>
              <w:right w:val="single" w:sz="4" w:space="0" w:color="auto"/>
            </w:tcBorders>
            <w:shd w:val="clear" w:color="auto" w:fill="auto"/>
            <w:noWrap/>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Срок годности на момент поставки</w:t>
            </w:r>
          </w:p>
        </w:tc>
        <w:tc>
          <w:tcPr>
            <w:tcW w:w="423" w:type="pct"/>
            <w:tcBorders>
              <w:top w:val="nil"/>
              <w:left w:val="nil"/>
              <w:bottom w:val="single" w:sz="8" w:space="0" w:color="auto"/>
              <w:right w:val="single" w:sz="4" w:space="0" w:color="auto"/>
            </w:tcBorders>
            <w:shd w:val="clear" w:color="auto" w:fill="auto"/>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 45</w:t>
            </w:r>
          </w:p>
        </w:tc>
        <w:tc>
          <w:tcPr>
            <w:tcW w:w="423" w:type="pct"/>
            <w:tcBorders>
              <w:top w:val="nil"/>
              <w:left w:val="nil"/>
              <w:bottom w:val="single" w:sz="8" w:space="0" w:color="auto"/>
              <w:right w:val="single" w:sz="4" w:space="0" w:color="auto"/>
            </w:tcBorders>
            <w:shd w:val="clear" w:color="auto" w:fill="auto"/>
            <w:hideMark/>
          </w:tcPr>
          <w:p w:rsidR="00F503BA" w:rsidRPr="00F503BA" w:rsidRDefault="00F503BA" w:rsidP="00F503BA">
            <w:pPr>
              <w:spacing w:after="0" w:line="240" w:lineRule="auto"/>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Сутки</w:t>
            </w:r>
          </w:p>
        </w:tc>
        <w:tc>
          <w:tcPr>
            <w:tcW w:w="423" w:type="pct"/>
            <w:tcBorders>
              <w:top w:val="nil"/>
              <w:left w:val="nil"/>
              <w:bottom w:val="single" w:sz="8" w:space="0" w:color="auto"/>
              <w:right w:val="single" w:sz="4" w:space="0" w:color="auto"/>
            </w:tcBorders>
            <w:shd w:val="clear" w:color="auto" w:fill="auto"/>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Значение характеристики не может изменяться участником закупки</w:t>
            </w:r>
          </w:p>
        </w:tc>
        <w:tc>
          <w:tcPr>
            <w:tcW w:w="373" w:type="pct"/>
            <w:tcBorders>
              <w:top w:val="nil"/>
              <w:left w:val="nil"/>
              <w:bottom w:val="single" w:sz="8" w:space="0" w:color="auto"/>
              <w:right w:val="single" w:sz="4" w:space="0" w:color="auto"/>
            </w:tcBorders>
            <w:shd w:val="clear" w:color="auto" w:fill="auto"/>
            <w:hideMark/>
          </w:tcPr>
          <w:p w:rsidR="00F503BA" w:rsidRPr="00F503BA" w:rsidRDefault="00F503BA" w:rsidP="00F503BA">
            <w:pPr>
              <w:spacing w:after="0" w:line="240" w:lineRule="auto"/>
              <w:jc w:val="center"/>
              <w:rPr>
                <w:rFonts w:ascii="Times New Roman" w:eastAsia="Times New Roman" w:hAnsi="Times New Roman" w:cs="Times New Roman"/>
                <w:lang w:eastAsia="ru-RU"/>
              </w:rPr>
            </w:pPr>
            <w:r w:rsidRPr="00F503BA">
              <w:rPr>
                <w:rFonts w:ascii="Times New Roman" w:eastAsia="Times New Roman" w:hAnsi="Times New Roman" w:cs="Times New Roman"/>
                <w:lang w:eastAsia="ru-RU"/>
              </w:rPr>
              <w:t>Исходя из стабильности реагентов и с учетом потребности</w:t>
            </w:r>
          </w:p>
        </w:tc>
        <w:tc>
          <w:tcPr>
            <w:tcW w:w="296"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177" w:type="pct"/>
            <w:vMerge/>
            <w:tcBorders>
              <w:top w:val="nil"/>
              <w:left w:val="single" w:sz="4" w:space="0" w:color="auto"/>
              <w:bottom w:val="single" w:sz="8"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342"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224"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181"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c>
          <w:tcPr>
            <w:tcW w:w="220" w:type="pct"/>
            <w:vMerge/>
            <w:tcBorders>
              <w:top w:val="nil"/>
              <w:left w:val="single" w:sz="4" w:space="0" w:color="auto"/>
              <w:bottom w:val="single" w:sz="4" w:space="0" w:color="000000"/>
              <w:right w:val="single" w:sz="4" w:space="0" w:color="auto"/>
            </w:tcBorders>
            <w:vAlign w:val="center"/>
            <w:hideMark/>
          </w:tcPr>
          <w:p w:rsidR="00F503BA" w:rsidRPr="00F503BA" w:rsidRDefault="00F503BA" w:rsidP="00F503BA">
            <w:pPr>
              <w:spacing w:after="0" w:line="240" w:lineRule="auto"/>
              <w:rPr>
                <w:rFonts w:ascii="Times New Roman" w:eastAsia="Times New Roman" w:hAnsi="Times New Roman" w:cs="Times New Roman"/>
                <w:lang w:eastAsia="ru-RU"/>
              </w:rPr>
            </w:pPr>
          </w:p>
        </w:tc>
      </w:tr>
    </w:tbl>
    <w:p w:rsidR="00F503BA" w:rsidRDefault="00F503BA" w:rsidP="00F503BA">
      <w:pPr>
        <w:rPr>
          <w:rFonts w:ascii="Times New Roman" w:hAnsi="Times New Roman" w:cs="Times New Roman"/>
          <w:b/>
          <w:sz w:val="28"/>
          <w:szCs w:val="28"/>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F503BA">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B35" w:rsidRDefault="003B2B35">
      <w:pPr>
        <w:spacing w:after="0" w:line="240" w:lineRule="auto"/>
      </w:pPr>
      <w:r>
        <w:separator/>
      </w:r>
    </w:p>
  </w:endnote>
  <w:endnote w:type="continuationSeparator" w:id="0">
    <w:p w:rsidR="003B2B35" w:rsidRDefault="003B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F6DD2" w:rsidRDefault="00FF6DD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F6DD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F6DD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F6DD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F6DD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F6DD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503B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B35" w:rsidRDefault="003B2B35">
      <w:pPr>
        <w:spacing w:after="0" w:line="240" w:lineRule="auto"/>
      </w:pPr>
      <w:r>
        <w:separator/>
      </w:r>
    </w:p>
  </w:footnote>
  <w:footnote w:type="continuationSeparator" w:id="0">
    <w:p w:rsidR="003B2B35" w:rsidRDefault="003B2B3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F6DD2" w:rsidRDefault="00FF6DD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F6DD2" w:rsidRDefault="00FF6DD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F6DD2" w:rsidRDefault="00FF6DD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2B35"/>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03BA"/>
    <w:rsid w:val="00F52E6A"/>
    <w:rsid w:val="00F709FA"/>
    <w:rsid w:val="00F72D5A"/>
    <w:rsid w:val="00F73B84"/>
    <w:rsid w:val="00F84F75"/>
    <w:rsid w:val="00F904BD"/>
    <w:rsid w:val="00F92171"/>
    <w:rsid w:val="00FB1AB7"/>
    <w:rsid w:val="00FB3393"/>
    <w:rsid w:val="00FC099A"/>
    <w:rsid w:val="00FC6343"/>
    <w:rsid w:val="00FC6CB1"/>
    <w:rsid w:val="00FE5F2E"/>
    <w:rsid w:val="00FF038C"/>
    <w:rsid w:val="00FF6D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693308193">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065A6-4F93-4F84-8E26-73D0B162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2025-07-17T14:54:00Z</dcterms:created>
  <dcterms:modified xsi:type="dcterms:W3CDTF">2025-07-17T14:54:00Z</dcterms:modified>
</cp:coreProperties>
</file>