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15.10.2021 № 05-07/1101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B3BD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69"/>
        <w:gridCol w:w="902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304433" w:rsidRPr="00F0107A" w:rsidRDefault="00304433" w:rsidP="00304433">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304433" w:rsidRDefault="00304433" w:rsidP="00304433">
      <w:pPr>
        <w:spacing w:after="0" w:line="240" w:lineRule="auto"/>
        <w:jc w:val="both"/>
        <w:rPr>
          <w:rFonts w:ascii="Times New Roman" w:hAnsi="Times New Roman"/>
          <w:color w:val="000000"/>
          <w:lang w:eastAsia="ru-RU"/>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681"/>
        <w:gridCol w:w="6387"/>
        <w:gridCol w:w="752"/>
        <w:gridCol w:w="701"/>
        <w:gridCol w:w="1398"/>
        <w:gridCol w:w="1120"/>
        <w:gridCol w:w="841"/>
        <w:gridCol w:w="1120"/>
        <w:gridCol w:w="937"/>
      </w:tblGrid>
      <w:tr w:rsidR="00304433" w:rsidRPr="000E0FFD" w:rsidTr="00DD11EC">
        <w:trPr>
          <w:trHeight w:val="20"/>
          <w:jc w:val="center"/>
        </w:trPr>
        <w:tc>
          <w:tcPr>
            <w:tcW w:w="589" w:type="dxa"/>
            <w:vAlign w:val="center"/>
            <w:hideMark/>
          </w:tcPr>
          <w:p w:rsidR="00304433" w:rsidRPr="000E0FFD" w:rsidRDefault="00304433" w:rsidP="00DD11EC">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681" w:type="dxa"/>
            <w:vAlign w:val="center"/>
            <w:hideMark/>
          </w:tcPr>
          <w:p w:rsidR="00304433" w:rsidRPr="008F2872" w:rsidRDefault="00304433" w:rsidP="00DD11EC">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6387" w:type="dxa"/>
            <w:vAlign w:val="center"/>
            <w:hideMark/>
          </w:tcPr>
          <w:p w:rsidR="00304433" w:rsidRPr="000E0FFD" w:rsidRDefault="00304433" w:rsidP="00DD11EC">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52" w:type="dxa"/>
            <w:vAlign w:val="center"/>
          </w:tcPr>
          <w:p w:rsidR="00304433" w:rsidRPr="000E0FFD" w:rsidRDefault="00304433" w:rsidP="00DD11EC">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1" w:type="dxa"/>
            <w:vAlign w:val="center"/>
          </w:tcPr>
          <w:p w:rsidR="00304433" w:rsidRPr="000E0FFD" w:rsidRDefault="00304433" w:rsidP="00DD11EC">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398" w:type="dxa"/>
            <w:vAlign w:val="center"/>
          </w:tcPr>
          <w:p w:rsidR="00304433" w:rsidRPr="000E0FFD" w:rsidRDefault="00304433" w:rsidP="00DD11EC">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20" w:type="dxa"/>
            <w:shd w:val="clear" w:color="auto" w:fill="FFFFCC"/>
            <w:vAlign w:val="center"/>
          </w:tcPr>
          <w:p w:rsidR="00304433" w:rsidRPr="000E0FFD" w:rsidRDefault="00304433" w:rsidP="00DD11EC">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841" w:type="dxa"/>
            <w:shd w:val="clear" w:color="auto" w:fill="FFFFCC"/>
            <w:vAlign w:val="center"/>
          </w:tcPr>
          <w:p w:rsidR="00304433" w:rsidRPr="00C2575C" w:rsidRDefault="00304433" w:rsidP="00DD11EC">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20" w:type="dxa"/>
            <w:shd w:val="clear" w:color="auto" w:fill="FFFFCC"/>
            <w:vAlign w:val="center"/>
          </w:tcPr>
          <w:p w:rsidR="00304433" w:rsidRPr="00C2575C" w:rsidRDefault="00304433" w:rsidP="00DD11EC">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937" w:type="dxa"/>
            <w:shd w:val="clear" w:color="auto" w:fill="FFFFCC"/>
            <w:vAlign w:val="center"/>
          </w:tcPr>
          <w:p w:rsidR="00304433" w:rsidRPr="00C2575C" w:rsidRDefault="00304433" w:rsidP="00DD11EC">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Катетер для измерения артериального давления</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1) Используемые материалы: фторэтиленпропилен, полипропилен. (Указание используемых материалов необходимо для принятия решения о совместимости лекарственного препарата с набором и предотвращения аллергических реакций у пациента. )</w:t>
            </w:r>
            <w:r w:rsidRPr="00F17500">
              <w:rPr>
                <w:rFonts w:ascii="Times New Roman" w:hAnsi="Times New Roman"/>
              </w:rPr>
              <w:br/>
              <w:t>Состав:</w:t>
            </w:r>
            <w:r w:rsidRPr="00F17500">
              <w:rPr>
                <w:rFonts w:ascii="Times New Roman" w:hAnsi="Times New Roman"/>
              </w:rPr>
              <w:br/>
              <w:t>2) интродьюсерная игла Сельдингера 1.00 х 50 мм (Пункционная игла необходима для организации доступа пациента. Указание размеров иглы является важнейшим параметром при ее описании.)</w:t>
            </w:r>
            <w:r w:rsidRPr="00F17500">
              <w:rPr>
                <w:rFonts w:ascii="Times New Roman" w:hAnsi="Times New Roman"/>
              </w:rPr>
              <w:br/>
              <w:t>3) проводник 0.025'' х 25 см, гибкий прямой кончик, (Проводник длиной 25 см для доставки катетера. Диаметр проводника и гибкий наконечник снижает риск травмирования сосуда.)</w:t>
            </w:r>
            <w:r w:rsidRPr="00F17500">
              <w:rPr>
                <w:rFonts w:ascii="Times New Roman" w:hAnsi="Times New Roman"/>
              </w:rPr>
              <w:br/>
              <w:t>4) катетер 20G, длина 80 мм из фторэтиленпропилена, гладкая атромбогенная поверхность, съемные фиксирующие крылья,  (Длина и размер катетера подобраны с учетом опыта специалистов при выполнении процедуры катетеризации сосудов. Указание используемых материалов необходимо для предотвращения аллергических реакций у пациента. Съемные фиксирующие крылья необходимы для подшивания катетера к коже с целью предотвращения его смещения при проведении манипуляций.)</w:t>
            </w:r>
            <w:r w:rsidRPr="00F17500">
              <w:rPr>
                <w:rFonts w:ascii="Times New Roman" w:hAnsi="Times New Roman"/>
              </w:rPr>
              <w:br/>
              <w:t>5) коннектор Люэр лок. (Коннектор Люэр Лок для обеспечения герметичности соединения катетера)</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40</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32.50.13.110-00005118*</w:t>
            </w:r>
            <w:r>
              <w:rPr>
                <w:rFonts w:ascii="Times New Roman" w:hAnsi="Times New Roman"/>
                <w:lang w:eastAsia="ru-RU"/>
              </w:rPr>
              <w:t>*</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Катетер для измерения артериального давления</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1) Катетер из фторэтиленпропилена (тефлона), не более 0,87 мм на 80 мм, с гладкой атромбогенной поверхностью, полностью совместим с тканями и кровью (Длина и размер катетера подобраны с учетом опыта специалистов при выполнении процедуры катетеризации сосудов. Указание используемых материалов необходимо для принятия решения о совместимости лекарственного препарата с набором и предотвращения аллергических реакций у пациента.)</w:t>
            </w:r>
            <w:r w:rsidRPr="00F17500">
              <w:rPr>
                <w:rFonts w:ascii="Times New Roman" w:hAnsi="Times New Roman"/>
              </w:rPr>
              <w:br/>
              <w:t>2) Фиксирующие крылья - мягкие крылья из полиуретана легко прилегают к коже, имеют три отверстия для подшивания. (фиксирующие крылья необходимы для подшивания катетера к коже с целью предотвращения его смещения при проведении манипуляций. Указание используемых материалов необходимо для предотвращения аллергических реакций у пациента.)</w:t>
            </w:r>
            <w:r w:rsidRPr="00F17500">
              <w:rPr>
                <w:rFonts w:ascii="Times New Roman" w:hAnsi="Times New Roman"/>
              </w:rPr>
              <w:br/>
              <w:t>3) Удлинительная линия, из полиуретана длиной не менее 7 см (Удлинительная линия позволяет подсоединить шприц или линию для измерения давления на удалении от места пункции, что уменьшает вероятность деформации катетера в месте пункции при проведении манипуляций. Указание используемых материалов необходимо для принятия решения о совместимости лекарственного препарата с набором и предотвращения аллергических реакций у пациента.)</w:t>
            </w:r>
            <w:r w:rsidRPr="00F17500">
              <w:rPr>
                <w:rFonts w:ascii="Times New Roman" w:hAnsi="Times New Roman"/>
              </w:rPr>
              <w:br/>
              <w:t>4) Гемостатический клапан открывается автоматически при подсоединении линии высокого давления и закрывается при ее отсоединении (Гемостатический клапан не влияет на результаты измерения артериального давления, высокая герметичность клапана предупреждает подтекание крови и облегчает манипуляции.)</w:t>
            </w:r>
            <w:r w:rsidRPr="00F17500">
              <w:rPr>
                <w:rFonts w:ascii="Times New Roman" w:hAnsi="Times New Roman"/>
              </w:rPr>
              <w:br/>
              <w:t>5) Интродьюсерная игла из нержавеющей стали 22G; не более 0,80 мм на 50 мм, цельный конический павильон, имеет винтовое соединение Люэр лок (Пункционная игла необходима для организации доступа пациента. Указание размеров иглы является важнейшим параметром при ее описании, цельный конический павильон снижает риск пункционной травмы и облегчает введение проводника, винтовое соединение Люэр лок обеспечивает герметичность соединения)</w:t>
            </w:r>
            <w:r w:rsidRPr="00F17500">
              <w:rPr>
                <w:rFonts w:ascii="Times New Roman" w:hAnsi="Times New Roman"/>
              </w:rPr>
              <w:br/>
              <w:t>6) Проводник из нержавеющей стали не менее 35 см на 0,021 дюйма имеет гибкий прямой кончик (Проводник длиной 35 см для доставки катетера, диаметр проводника соответствует диаметру катетера, гибкий наконечник снижает риск травмирования сосуда. Указание используемых материалов необходимо для предотвращения аллергических реакций у пациента.)</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40</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32.50.13.110-00005118*</w:t>
            </w:r>
            <w:r>
              <w:rPr>
                <w:rFonts w:ascii="Times New Roman" w:hAnsi="Times New Roman"/>
                <w:lang w:eastAsia="ru-RU"/>
              </w:rPr>
              <w:t>*</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Набор для троакарной цистостомии</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Набор для надлобкового дренажа мочевого пузыря.</w:t>
            </w:r>
            <w:r w:rsidRPr="00F17500">
              <w:rPr>
                <w:rFonts w:ascii="Times New Roman" w:hAnsi="Times New Roman"/>
              </w:rPr>
              <w:br/>
              <w:t>Назначение: Надлобковый дренаж мочевого пузыря, кратко- и среднесрочный.</w:t>
            </w:r>
            <w:r w:rsidRPr="00F17500">
              <w:rPr>
                <w:rFonts w:ascii="Times New Roman" w:hAnsi="Times New Roman"/>
              </w:rPr>
              <w:br/>
              <w:t>Материал катетера должен быть термолабильный, антитромбогенный, Rg- контрастный полиуретан.</w:t>
            </w:r>
            <w:r w:rsidRPr="00F17500">
              <w:rPr>
                <w:rFonts w:ascii="Times New Roman" w:hAnsi="Times New Roman"/>
              </w:rPr>
              <w:br/>
              <w:t>Состав набора: Катетер с несмываемой маркировкой в см, скользящий зажим, не менее 7 боковых дренажных отверстий, закругленный наконечник не более 40 мм; диаметр должен быть 15 Ch / 4.8 мм, длина  не менее 65 см</w:t>
            </w:r>
            <w:r w:rsidRPr="00F17500">
              <w:rPr>
                <w:rFonts w:ascii="Times New Roman" w:hAnsi="Times New Roman"/>
              </w:rPr>
              <w:br/>
              <w:t>Расщепляемый металлический троакар длиной не менее 12 см</w:t>
            </w:r>
            <w:r w:rsidRPr="00F17500">
              <w:rPr>
                <w:rFonts w:ascii="Times New Roman" w:hAnsi="Times New Roman"/>
              </w:rPr>
              <w:br/>
              <w:t>Пакет для сбора мочи не менее 2 л с невозвратным клапаном и сливным краном.</w:t>
            </w:r>
            <w:r w:rsidRPr="00F17500">
              <w:rPr>
                <w:rFonts w:ascii="Times New Roman" w:hAnsi="Times New Roman"/>
              </w:rPr>
              <w:br/>
              <w:t xml:space="preserve">Катетер должен быть предустановлен в троакар. </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87</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32.50.13.190</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Резервуар для дренирования закрытой раны/места пункции</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Жесткая емкость для высоковакуумного дренирования ран объемом не менее 400 мл с соединительной трубкой длиной не менее 120 см. В емкости в заводских условиях создано отрицательное давление уровнем не более 98000 Па. Емкость должна иметь индикатор вакуума, шкалу вертикальной градуировки уровня отделяемого, шкалу градуировки для определения уровня при наклоне. Соединение с трубкой должно быть типа Люер-Лок. Емкость должна иметь петлю для подвешивания, зажим на соединительной трубке, зажим проксимальное соединение емкости с трубкой. Соединительная трубка на конце должна иметь универсальный ступенчатый коннектор для дренажей 6-18 Ch. Не содержит латекс.</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236</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32.50.13.190-00007085*</w:t>
            </w:r>
            <w:r>
              <w:rPr>
                <w:rFonts w:ascii="Times New Roman" w:hAnsi="Times New Roman"/>
                <w:lang w:eastAsia="ru-RU"/>
              </w:rPr>
              <w:t>*</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Резервуар для дренирования закрытой раны/места пункции</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Жесткая емкость для высоковакуумного дренирования ран объемом не менее 600 мл с соединительной трубкой длиной не менее 120 см. В емкости в заводских условиях создано отрицательное давление уровнем не более 98000 Па. Емкость должна иметь индикатор вакуума, шкалу вертикальной градуировки уровня отделяемого, шкалу градуировки для определения уровня при наклоне. Соединение с трубкой должно быть типа Люер-Лок. Емкость должна иметь петлю для подвешивания, зажим на соединительной трубке, зажим проксимальное соединение емкости с трубкой. Соединительная трубка на конце должна иметь универсальный ступенчатый коннектор для дренажей 6-18 Ch. Не содержит латекс.</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97</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32.50.13.190-00007085*</w:t>
            </w:r>
            <w:r>
              <w:rPr>
                <w:rFonts w:ascii="Times New Roman" w:hAnsi="Times New Roman"/>
                <w:lang w:eastAsia="ru-RU"/>
              </w:rPr>
              <w:t>*</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Набор для внутривенных вливаний с иглой Губера</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Это игла к портам (типа Губера) специальной заточки. (Для предотвращения повреждения силиконовой мембраны камеры порт-системы при ее введении). Диаметр иглы, 20G (В зависимости от вязкости вводимого раствора).</w:t>
            </w:r>
            <w:r>
              <w:rPr>
                <w:rFonts w:ascii="Times New Roman" w:hAnsi="Times New Roman"/>
              </w:rPr>
              <w:t xml:space="preserve"> </w:t>
            </w:r>
            <w:r w:rsidRPr="00F17500">
              <w:rPr>
                <w:rFonts w:ascii="Times New Roman" w:hAnsi="Times New Roman"/>
              </w:rPr>
              <w:t>Длина иглы не менее 19 не более 20мм (В зависимости от конституциональных особенностей человека, глубины залегания порта ). Наличие прозрачных фиксирующих крылышек. (Для облегчения прокола,  надежной фиксации и визуализации места нахождения иглы). Должна быть удлинительная линия длиной не менее 180 не более 210 мм. (Для удобства подключения ифузионной линии и удобства пациента при длительной инфузии). Материал удлинительной линии не должен содержать латекс, ПВХ и фталаты. (Совместим со всеми химиопрепаратами). Коннектор должен быть на концевой части-конус типа Луэр лок. (для подключения к инфузионным системам.) Должен быть зажим на удлинительной линии. (для контроля и мгновенной остановки инфузии). Допустимое давление в системе Не менее 300psi//21bar и не более 325 psi/22,4 bar. (для проведения КТ исследования с введением контраста через порт-системы с поддержкой соответствующего давления.) Должна быть заглушка на концевой части (для предотвращения попадания воздуха и инфекции.)</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780</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32.50.13.190-00007342*</w:t>
            </w:r>
            <w:r>
              <w:rPr>
                <w:rFonts w:ascii="Times New Roman" w:hAnsi="Times New Roman"/>
                <w:lang w:eastAsia="ru-RU"/>
              </w:rPr>
              <w:t>*</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Игла спинальная, одноразового использования</w:t>
            </w:r>
          </w:p>
        </w:tc>
        <w:tc>
          <w:tcPr>
            <w:tcW w:w="6387" w:type="dxa"/>
          </w:tcPr>
          <w:p w:rsidR="00304433" w:rsidRPr="00F17500" w:rsidRDefault="00304433" w:rsidP="00082E62">
            <w:pPr>
              <w:spacing w:after="0" w:line="240" w:lineRule="auto"/>
              <w:rPr>
                <w:rFonts w:ascii="Times New Roman" w:hAnsi="Times New Roman"/>
              </w:rPr>
            </w:pPr>
            <w:r w:rsidRPr="00F17500">
              <w:rPr>
                <w:rFonts w:ascii="Times New Roman" w:hAnsi="Times New Roman"/>
              </w:rPr>
              <w:t xml:space="preserve">Диаметр, G: 20 ;  </w:t>
            </w:r>
            <w:r w:rsidRPr="00F17500">
              <w:rPr>
                <w:rFonts w:ascii="Times New Roman" w:hAnsi="Times New Roman"/>
              </w:rPr>
              <w:br/>
              <w:t xml:space="preserve">Длина: &gt; 8  и  ≤ 9 (см) ;  </w:t>
            </w:r>
            <w:r w:rsidRPr="00F17500">
              <w:rPr>
                <w:rFonts w:ascii="Times New Roman" w:hAnsi="Times New Roman"/>
              </w:rPr>
              <w:br/>
              <w:t>Проводниковая игла</w:t>
            </w:r>
            <w:r>
              <w:rPr>
                <w:rFonts w:ascii="Times New Roman" w:hAnsi="Times New Roman"/>
              </w:rPr>
              <w:t xml:space="preserve">: Нет;  </w:t>
            </w:r>
            <w:r>
              <w:rPr>
                <w:rFonts w:ascii="Times New Roman" w:hAnsi="Times New Roman"/>
              </w:rPr>
              <w:br/>
              <w:t xml:space="preserve">Тип иглы: Квинке ; </w:t>
            </w:r>
            <w:r>
              <w:rPr>
                <w:rFonts w:ascii="Times New Roman" w:hAnsi="Times New Roman"/>
              </w:rPr>
              <w:br/>
            </w:r>
            <w:r w:rsidRPr="007A471C">
              <w:rPr>
                <w:rFonts w:ascii="Times New Roman" w:hAnsi="Times New Roman"/>
                <w:b/>
                <w:i/>
                <w:u w:val="single"/>
              </w:rPr>
              <w:t>Дополнительные характеристики:*</w:t>
            </w:r>
            <w:r w:rsidRPr="00F17500">
              <w:rPr>
                <w:rFonts w:ascii="Times New Roman" w:hAnsi="Times New Roman"/>
              </w:rPr>
              <w:br/>
              <w:t>1) Материалы: медицинская нержавеющая сталь, поликарбонат, полипропилен (Указание материалов изготовления требуется для принятия решения о совместимости изделия с лекарственными препаратами)</w:t>
            </w:r>
            <w:r w:rsidRPr="00F17500">
              <w:rPr>
                <w:rFonts w:ascii="Times New Roman" w:hAnsi="Times New Roman"/>
              </w:rPr>
              <w:br/>
              <w:t>2) Двухкомпонентный павильон иглы - внутренняя часть со встроенной цветоизменяющейся призмой</w:t>
            </w:r>
            <w:r>
              <w:rPr>
                <w:rFonts w:ascii="Times New Roman" w:hAnsi="Times New Roman"/>
              </w:rPr>
              <w:t xml:space="preserve"> </w:t>
            </w:r>
            <w:r w:rsidRPr="00F17500">
              <w:rPr>
                <w:rFonts w:ascii="Times New Roman" w:hAnsi="Times New Roman"/>
              </w:rPr>
              <w:t>-</w:t>
            </w:r>
            <w:r>
              <w:rPr>
                <w:rFonts w:ascii="Times New Roman" w:hAnsi="Times New Roman"/>
              </w:rPr>
              <w:t xml:space="preserve"> </w:t>
            </w:r>
            <w:r w:rsidRPr="00F17500">
              <w:rPr>
                <w:rFonts w:ascii="Times New Roman" w:hAnsi="Times New Roman"/>
              </w:rPr>
              <w:t>идентификатором поступления ликвора в просвет павильона для получения четкого, быстрого и надежного подтверждения успешности выполнения пункции; (Двухкомпонентый павильон иглы обеспечивает возможность наличия встроенной призмы-идентификатора, что служит фактором уменьшения риска возникновения инфекционных осложнений и возникновения ППГБ. Призма-идентификатор позволяет раньше определить ток ликвора, что, в свою очередь, уменьшает риск возникновения инфекционных осложнений и возникновения ППГБ. Также использование подобных игл уменьшает время проведения манипуляции.)</w:t>
            </w:r>
            <w:r w:rsidRPr="00F17500">
              <w:rPr>
                <w:rFonts w:ascii="Times New Roman" w:hAnsi="Times New Roman"/>
              </w:rPr>
              <w:br/>
              <w:t>3)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(Для надежного удерживания иглы при пункции, а также возможности визуализации призмы-идентификатора со всех сторон павильона. Надежная фиксация иглы обеспечивает увеличение безопасности пациента, а возможность четко визуализировать призму со всех сторон уменьшает риск возникновения инфекционных осложнений и возникновения ППГБ)</w:t>
            </w:r>
            <w:r w:rsidRPr="00F17500">
              <w:rPr>
                <w:rFonts w:ascii="Times New Roman" w:hAnsi="Times New Roman"/>
              </w:rPr>
              <w:br/>
              <w:t>4)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(Дополнительный выступ-стрелка указывает направление среза иглы и позволяет точно определить расположение среза иглы после извлечения мандрена, таким образом повышается безопасность пациента при проведении спинальной анестезии)</w:t>
            </w:r>
            <w:r w:rsidRPr="00F17500">
              <w:rPr>
                <w:rFonts w:ascii="Times New Roman" w:hAnsi="Times New Roman"/>
              </w:rPr>
              <w:br/>
              <w:t>5) Мандрен - стальной, точно совпадающий с внутренним диаметром и срезом иглы;  (Мандрен - стержень для закрытия просвета иглы, придания жесткости при ее введении, а также защиты иглы от блокирования ее просвета кожей и подкожными тканями)</w:t>
            </w:r>
            <w:r w:rsidRPr="00F17500">
              <w:rPr>
                <w:rFonts w:ascii="Times New Roman" w:hAnsi="Times New Roman"/>
              </w:rPr>
              <w:br/>
              <w:t xml:space="preserve">6) Ручка-наконечник мандрена с международной маркировкой диаметра иглы (желтый цвет) и цветоконтрастным, по отношению к павильону, индикатором направления среза иглы  для четкой зрительной идентификации направления среза иглы;       (Цветовая маркировка размера иглы является государственным стандартом. Цветоконтрастный, по отношению к павильону, индикатор направления среза иглы используется в качестве указателя и позволяет точно определить расположение среза иглы, таким образом повышается безопасность пациента при проведении спинальной анестезии.)                                                                                  </w:t>
            </w:r>
            <w:r w:rsidRPr="00F17500">
              <w:rPr>
                <w:rFonts w:ascii="Times New Roman" w:hAnsi="Times New Roman"/>
              </w:rPr>
              <w:br/>
              <w:t>7) Упаковка: стерильно упакованная (Стерильность изделия не нуждается в дополнительном обосновании, так как это является обязательным фактом. Индивидуальная упаковка для каждого изделия обеспечивает стерильность изделий одноразового применения)</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475</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32.50.13.110-00004083</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Игла спинальная, одноразового использования</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 xml:space="preserve">Диаметр, G: 22 </w:t>
            </w:r>
            <w:r w:rsidRPr="00F17500">
              <w:rPr>
                <w:rFonts w:ascii="Times New Roman" w:hAnsi="Times New Roman"/>
              </w:rPr>
              <w:br/>
              <w:t>Длина: &gt; 8 и  ≤ 9 сантиметр</w:t>
            </w:r>
            <w:r w:rsidRPr="00F17500">
              <w:rPr>
                <w:rFonts w:ascii="Times New Roman" w:hAnsi="Times New Roman"/>
              </w:rPr>
              <w:br/>
              <w:t xml:space="preserve">Проводниковая игла: Нет </w:t>
            </w:r>
            <w:r w:rsidRPr="00F17500">
              <w:rPr>
                <w:rFonts w:ascii="Times New Roman" w:hAnsi="Times New Roman"/>
              </w:rPr>
              <w:br/>
              <w:t xml:space="preserve">Тип иглы: Квинке   </w:t>
            </w:r>
            <w:r w:rsidRPr="00F17500">
              <w:rPr>
                <w:rFonts w:ascii="Times New Roman" w:hAnsi="Times New Roman"/>
              </w:rPr>
              <w:br/>
            </w:r>
            <w:r w:rsidRPr="007A471C">
              <w:rPr>
                <w:rFonts w:ascii="Times New Roman" w:hAnsi="Times New Roman"/>
                <w:b/>
                <w:i/>
                <w:u w:val="single"/>
              </w:rPr>
              <w:t>Дополнительные характеристики:*</w:t>
            </w:r>
            <w:r w:rsidRPr="00F17500">
              <w:rPr>
                <w:rFonts w:ascii="Times New Roman" w:hAnsi="Times New Roman"/>
              </w:rPr>
              <w:br/>
              <w:t>1) Материалы: полипропилен, полиэтилен, стиренбутадиен, нержавеющая сталь. (Указание материалов изготовления требуется для принятия решения о совместимости изделия с лекарственными препаратами. )</w:t>
            </w:r>
            <w:r w:rsidRPr="00F17500">
              <w:rPr>
                <w:rFonts w:ascii="Times New Roman" w:hAnsi="Times New Roman"/>
              </w:rPr>
              <w:br/>
              <w:t>2) прозрачный пластиковый рифленый павильон (Прозрачный павильон для индентификации поступления ликвора)</w:t>
            </w:r>
            <w:r w:rsidRPr="00F17500">
              <w:rPr>
                <w:rFonts w:ascii="Times New Roman" w:hAnsi="Times New Roman"/>
              </w:rPr>
              <w:br/>
              <w:t>3) обтуратор с цветовой кодировкой ручки и указателем положения среза (Цветовая маркировка размера иглы является государственным стандартом. Указатель бокового отверстия иглы для безопасности пациента при пункции)</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375</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32.50.13.110-00003915</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Игла спинальная, одноразового использования</w:t>
            </w:r>
          </w:p>
        </w:tc>
        <w:tc>
          <w:tcPr>
            <w:tcW w:w="6387" w:type="dxa"/>
          </w:tcPr>
          <w:p w:rsidR="00304433" w:rsidRDefault="00304433" w:rsidP="00DD11EC">
            <w:pPr>
              <w:spacing w:after="0" w:line="240" w:lineRule="auto"/>
              <w:rPr>
                <w:rFonts w:ascii="Times New Roman" w:hAnsi="Times New Roman"/>
              </w:rPr>
            </w:pPr>
            <w:r>
              <w:rPr>
                <w:rFonts w:ascii="Times New Roman" w:hAnsi="Times New Roman"/>
              </w:rPr>
              <w:br w:type="page"/>
              <w:t>Диаметр, G: 25</w:t>
            </w:r>
            <w:r w:rsidRPr="00F17500">
              <w:rPr>
                <w:rFonts w:ascii="Times New Roman" w:hAnsi="Times New Roman"/>
              </w:rPr>
              <w:t xml:space="preserve">;  </w:t>
            </w:r>
            <w:r w:rsidRPr="00F17500">
              <w:rPr>
                <w:rFonts w:ascii="Times New Roman" w:hAnsi="Times New Roman"/>
              </w:rPr>
              <w:br w:type="page"/>
            </w:r>
          </w:p>
          <w:p w:rsidR="00304433" w:rsidRDefault="00304433" w:rsidP="00DD11EC">
            <w:pPr>
              <w:spacing w:after="0" w:line="240" w:lineRule="auto"/>
              <w:rPr>
                <w:rFonts w:ascii="Times New Roman" w:hAnsi="Times New Roman"/>
              </w:rPr>
            </w:pPr>
            <w:r w:rsidRPr="00F17500">
              <w:rPr>
                <w:rFonts w:ascii="Times New Roman" w:hAnsi="Times New Roman"/>
              </w:rPr>
              <w:t>Длина: &gt; 11  и  ≤ 12 (см);</w:t>
            </w:r>
          </w:p>
          <w:p w:rsidR="00304433" w:rsidRDefault="00304433" w:rsidP="00DD11EC">
            <w:pPr>
              <w:spacing w:after="0" w:line="240" w:lineRule="auto"/>
              <w:rPr>
                <w:rFonts w:ascii="Times New Roman" w:hAnsi="Times New Roman"/>
              </w:rPr>
            </w:pPr>
            <w:r w:rsidRPr="00F17500">
              <w:rPr>
                <w:rFonts w:ascii="Times New Roman" w:hAnsi="Times New Roman"/>
              </w:rPr>
              <w:br w:type="page"/>
              <w:t>Проводниковая игла: Нет</w:t>
            </w:r>
            <w:r>
              <w:rPr>
                <w:rFonts w:ascii="Times New Roman" w:hAnsi="Times New Roman"/>
              </w:rPr>
              <w:t xml:space="preserve">; </w:t>
            </w:r>
          </w:p>
          <w:p w:rsidR="00304433" w:rsidRDefault="00304433" w:rsidP="00DD11EC">
            <w:pPr>
              <w:spacing w:after="0" w:line="240" w:lineRule="auto"/>
              <w:rPr>
                <w:rFonts w:ascii="Times New Roman" w:hAnsi="Times New Roman"/>
              </w:rPr>
            </w:pPr>
            <w:r w:rsidRPr="00F17500">
              <w:rPr>
                <w:rFonts w:ascii="Times New Roman" w:hAnsi="Times New Roman"/>
              </w:rPr>
              <w:t>Тип иглы: Квинке</w:t>
            </w:r>
          </w:p>
          <w:p w:rsidR="00304433" w:rsidRDefault="00304433" w:rsidP="00DD11EC">
            <w:pPr>
              <w:spacing w:after="0" w:line="240" w:lineRule="auto"/>
              <w:rPr>
                <w:rFonts w:ascii="Times New Roman" w:hAnsi="Times New Roman"/>
              </w:rPr>
            </w:pPr>
            <w:r w:rsidRPr="007A471C">
              <w:rPr>
                <w:rFonts w:ascii="Times New Roman" w:hAnsi="Times New Roman"/>
                <w:b/>
                <w:i/>
                <w:u w:val="single"/>
              </w:rPr>
              <w:t>Дополнительные характеристики:*</w:t>
            </w:r>
          </w:p>
          <w:p w:rsidR="00304433" w:rsidRDefault="00304433" w:rsidP="00DD11EC">
            <w:pPr>
              <w:spacing w:after="0" w:line="240" w:lineRule="auto"/>
              <w:rPr>
                <w:rFonts w:ascii="Times New Roman" w:hAnsi="Times New Roman"/>
              </w:rPr>
            </w:pPr>
            <w:r w:rsidRPr="00F17500">
              <w:rPr>
                <w:rFonts w:ascii="Times New Roman" w:hAnsi="Times New Roman"/>
              </w:rPr>
              <w:br w:type="page"/>
            </w:r>
            <w:r w:rsidRPr="00F17500">
              <w:rPr>
                <w:rFonts w:ascii="Times New Roman" w:hAnsi="Times New Roman"/>
              </w:rPr>
              <w:br w:type="page"/>
              <w:t>1) Материалы: медицинская нержавеющая сталь, поликарбонат, полипропилен (Указание материалов изготовления требуется для принятия решения о совместимости изделия с лекарственными препаратами. )</w:t>
            </w:r>
            <w:r w:rsidRPr="00F17500">
              <w:rPr>
                <w:rFonts w:ascii="Times New Roman" w:hAnsi="Times New Roman"/>
              </w:rPr>
              <w:br w:type="page"/>
              <w:t>2)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четкого, быстрого и надежного подтверждения успешности выполнения пункции;  (Двухкомпонентый павильон иглы обеспечивает возможность наличия встроенной призмы-идентификатора, что служит фактором уменьшения риска возникновения инфекционных осложнений и возникновения ППГБ. Призма-идентификатор позволяет раньше определить ток ликвора, что, в свою очередь, уменьшает риск возникновения инфекционных осложнений и возникновения ППГБ. Также использование подобных игл уменьшает время проведения манипуляции.)</w:t>
            </w:r>
            <w:r w:rsidRPr="00F17500">
              <w:rPr>
                <w:rFonts w:ascii="Times New Roman" w:hAnsi="Times New Roman"/>
              </w:rPr>
              <w:br w:type="page"/>
              <w:t>3)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(Для надежного удерживания иглы при пункции, а также возможности визуализации призмы-идентификатора со всех сторон павильона. Надежная фиксация иглы обеспечивает увеличение безопасности пациента, а возможность четко визуализировать призму со всех сторон уменьшает риск возникновения инфекционных осложнений и возникновения ППГБ)</w:t>
            </w:r>
            <w:r w:rsidRPr="00F17500">
              <w:rPr>
                <w:rFonts w:ascii="Times New Roman" w:hAnsi="Times New Roman"/>
              </w:rPr>
              <w:br w:type="page"/>
              <w:t xml:space="preserve">4)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(Дополнительный выступ-стрелка указывает направление среза иглы и позволяет точно определить расположение среза иглы после извлечения мандрена, таким образом повышается безопасность пациента при проведении спинальной анестезии)                                                                             </w:t>
            </w:r>
            <w:r w:rsidRPr="00F17500">
              <w:rPr>
                <w:rFonts w:ascii="Times New Roman" w:hAnsi="Times New Roman"/>
              </w:rPr>
              <w:br w:type="page"/>
              <w:t xml:space="preserve">5) Мандрен - стальной, точно совпадающий с внутренним диаметром и срезом иглы; (Мандрен - стержень для закрытия просвета иглы, придания жесткости при ее введении, а также защиты иглы от блокирования ее просвета кожей и подкожными тканями) </w:t>
            </w:r>
            <w:r w:rsidRPr="00F17500">
              <w:rPr>
                <w:rFonts w:ascii="Times New Roman" w:hAnsi="Times New Roman"/>
              </w:rPr>
              <w:br w:type="page"/>
              <w:t xml:space="preserve">6) Ручка-наконечник мандрена с международной маркировкой диаметра иглы (оранжевый цвет) и цветоконтрастным, по отношению к павильону, индикатором направления среза иглы  для четкой зрительной идентификации направления среза иглы;        (Цветовая маркировка размера иглы является государственным стандартом. Цветоконтрастный, по отношению к павильону, индикатор направления среза иглы используется в качестве указателя и позволяет точно определить расположение среза иглы, таким образом повышается безопасность пациента при проведении спинальной анестезии.) </w:t>
            </w:r>
          </w:p>
          <w:p w:rsidR="00304433" w:rsidRPr="00F17500" w:rsidRDefault="00304433" w:rsidP="00DD11EC">
            <w:pPr>
              <w:spacing w:after="0" w:line="240" w:lineRule="auto"/>
              <w:rPr>
                <w:rFonts w:ascii="Times New Roman" w:hAnsi="Times New Roman"/>
              </w:rPr>
            </w:pPr>
            <w:r w:rsidRPr="00F17500">
              <w:rPr>
                <w:rFonts w:ascii="Times New Roman" w:hAnsi="Times New Roman"/>
              </w:rPr>
              <w:br w:type="page"/>
              <w:t>7) Упаковка: стерильно упакованная   (Стерильность изделия не нуждается в дополнительном обосновании, так как это является обязательным фактом. Индивидуальная упаковка для каждого изделия обеспечивает стерильность изделий одноразового применения.)</w:t>
            </w:r>
            <w:r w:rsidRPr="00F17500">
              <w:rPr>
                <w:rFonts w:ascii="Times New Roman" w:hAnsi="Times New Roman"/>
              </w:rPr>
              <w:br w:type="page"/>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100</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32.50.13.110-00003645</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Игла спинальная, одноразового использования</w:t>
            </w:r>
          </w:p>
        </w:tc>
        <w:tc>
          <w:tcPr>
            <w:tcW w:w="6387" w:type="dxa"/>
          </w:tcPr>
          <w:p w:rsidR="00304433" w:rsidRDefault="00304433" w:rsidP="00DD11EC">
            <w:pPr>
              <w:spacing w:after="0" w:line="240" w:lineRule="auto"/>
              <w:rPr>
                <w:rFonts w:ascii="Times New Roman" w:hAnsi="Times New Roman"/>
              </w:rPr>
            </w:pPr>
            <w:r w:rsidRPr="00F17500">
              <w:rPr>
                <w:rFonts w:ascii="Times New Roman" w:hAnsi="Times New Roman"/>
              </w:rPr>
              <w:t xml:space="preserve">Диаметр, G: 25 </w:t>
            </w:r>
            <w:r w:rsidRPr="00F17500">
              <w:rPr>
                <w:rFonts w:ascii="Times New Roman" w:hAnsi="Times New Roman"/>
              </w:rPr>
              <w:br/>
              <w:t>Длина: &gt; 8 и  ≤ 9 сан</w:t>
            </w:r>
            <w:r>
              <w:rPr>
                <w:rFonts w:ascii="Times New Roman" w:hAnsi="Times New Roman"/>
              </w:rPr>
              <w:t>тиметр</w:t>
            </w:r>
            <w:r>
              <w:rPr>
                <w:rFonts w:ascii="Times New Roman" w:hAnsi="Times New Roman"/>
              </w:rPr>
              <w:br/>
              <w:t xml:space="preserve">Проводниковая игла: Нет </w:t>
            </w:r>
            <w:r w:rsidRPr="00F17500">
              <w:rPr>
                <w:rFonts w:ascii="Times New Roman" w:hAnsi="Times New Roman"/>
              </w:rPr>
              <w:br/>
              <w:t xml:space="preserve">Тип иглы: Квинке </w:t>
            </w:r>
            <w:r w:rsidRPr="00F17500">
              <w:rPr>
                <w:rFonts w:ascii="Times New Roman" w:hAnsi="Times New Roman"/>
              </w:rPr>
              <w:br/>
            </w:r>
            <w:r w:rsidRPr="007A471C">
              <w:rPr>
                <w:rFonts w:ascii="Times New Roman" w:hAnsi="Times New Roman"/>
                <w:b/>
                <w:i/>
                <w:u w:val="single"/>
              </w:rPr>
              <w:t>Дополнительные характеристики:*</w:t>
            </w:r>
          </w:p>
          <w:p w:rsidR="00304433" w:rsidRPr="00F17500" w:rsidRDefault="00304433" w:rsidP="00DD11EC">
            <w:pPr>
              <w:spacing w:after="0" w:line="240" w:lineRule="auto"/>
              <w:rPr>
                <w:rFonts w:ascii="Times New Roman" w:hAnsi="Times New Roman"/>
              </w:rPr>
            </w:pPr>
            <w:r w:rsidRPr="00F17500">
              <w:rPr>
                <w:rFonts w:ascii="Times New Roman" w:hAnsi="Times New Roman"/>
              </w:rPr>
              <w:t>Расширенные характеристики и обоснование:</w:t>
            </w:r>
            <w:r w:rsidRPr="00F17500">
              <w:rPr>
                <w:rFonts w:ascii="Times New Roman" w:hAnsi="Times New Roman"/>
              </w:rPr>
              <w:br/>
              <w:t>1) Материалы: полипропилен, полиэтилен, стиренбутадиен, нержавеющая сталь. (Указание материалов изготовления требуется для принятия решения о совместимости изделия с лекарственными препаратами. )</w:t>
            </w:r>
            <w:r w:rsidRPr="00F17500">
              <w:rPr>
                <w:rFonts w:ascii="Times New Roman" w:hAnsi="Times New Roman"/>
              </w:rPr>
              <w:br/>
              <w:t>2) прозрачный пластиковый рифленый павильон (Прозрачный павильон для индентификации поступления ликвора)</w:t>
            </w:r>
            <w:r w:rsidRPr="00F17500">
              <w:rPr>
                <w:rFonts w:ascii="Times New Roman" w:hAnsi="Times New Roman"/>
              </w:rPr>
              <w:br/>
              <w:t>3) обтуратор с цветовой кодировкой ручки и указателем положения среза (Цветовая маркировка размера иглы является государственным стандартом. Указатель бокового отверстия иглы для безопасности пациента при пункции)</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25</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32.50.13.110-00003663</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Устройство для приготовления и смешивания раствором закрытым способом</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Двухсторонняя канюля для смешивания растворов в стеклянных или пластиковых флаконах; должна быть поддержка высокой скорости потока; должна быть с широкими упорными планками; длина упорной планки должна быть не менее 30 мм и ширина не более 10 мм; длина каждого прокалывающего наконечника  не менее 30 мм, материал канюли должен быть полиэтилен высокой плотности.</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800</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Игла для биопсии мягких тканей, одноразового использования</w:t>
            </w:r>
          </w:p>
        </w:tc>
        <w:tc>
          <w:tcPr>
            <w:tcW w:w="6387" w:type="dxa"/>
          </w:tcPr>
          <w:p w:rsidR="00304433" w:rsidRPr="00F17500" w:rsidRDefault="00304433" w:rsidP="00082E62">
            <w:pPr>
              <w:spacing w:after="0" w:line="240" w:lineRule="auto"/>
              <w:rPr>
                <w:rFonts w:ascii="Times New Roman" w:hAnsi="Times New Roman"/>
              </w:rPr>
            </w:pPr>
            <w:r w:rsidRPr="00F17500">
              <w:rPr>
                <w:rFonts w:ascii="Times New Roman" w:hAnsi="Times New Roman"/>
              </w:rPr>
              <w:t>Инструмент предназначен для взятия образца ткани кожи  для гистологического подтверждения диагноза. Ребристая пластиковая рукоять с указанием размера инструмента. Должен быть металлический наконечник, надежно фиксируемый в рукояти с помощью запорного соединения. Должна быть бритвенная заточка режущей кромки инструмента. Размер: не менее 5 мм и не более 5,5мм, обозначен на рукояти инструмента. Инструмент должен быть упакован в мягкий пластиковый прозрачный блистер с нанесенными указаниями по эксплуатации и хранению. Также должна быть нанесена маркировка с указанием размеров, каталожного номера, стерильности, даты изготовления, сроков годности и номера партии. Стерилизована, предназначена для однократного применения</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20</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32.50.13.110-00005166*</w:t>
            </w:r>
            <w:r>
              <w:rPr>
                <w:rFonts w:ascii="Times New Roman" w:hAnsi="Times New Roman"/>
                <w:lang w:eastAsia="ru-RU"/>
              </w:rPr>
              <w:t>*</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Игла для биопсии мягких тканей, одноразового использования</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Инструмент  предназначен для взятия образца ткани кожи  для гистологического подтверждения диагноза. Ребристая пластиковая рукоять с указанием размера инструмента. Должен быть металлический наконечник, надежно фиксируемый в рукояти с помощью запорного соединения. Должна быть бритвенная заточка режущей кромки инструмента. Размер: не менее 6 мм и не более 6,5мм, обозначен на рукояти инструмента. Инструмент должен быть упакован в мягкий пластиковый прозрачный блистер с нанесенными указаниями по эксплуатации и хранению. Также должна быть нанесена маркировка с указанием размеров, каталожного номера, стерильности, даты изготовления, сроков годности и номера партии. Стерилизована, предназначена для однократного применения</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20</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32.50.13.110-00005166*</w:t>
            </w:r>
            <w:r>
              <w:rPr>
                <w:rFonts w:ascii="Times New Roman" w:hAnsi="Times New Roman"/>
                <w:lang w:eastAsia="ru-RU"/>
              </w:rPr>
              <w:t>*</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r w:rsidR="00304433" w:rsidRPr="000E0FFD" w:rsidTr="00DD11EC">
        <w:trPr>
          <w:trHeight w:val="20"/>
          <w:jc w:val="center"/>
        </w:trPr>
        <w:tc>
          <w:tcPr>
            <w:tcW w:w="589" w:type="dxa"/>
          </w:tcPr>
          <w:p w:rsidR="00304433" w:rsidRPr="000E0FFD" w:rsidRDefault="00304433" w:rsidP="00304433">
            <w:pPr>
              <w:pStyle w:val="a7"/>
              <w:numPr>
                <w:ilvl w:val="0"/>
                <w:numId w:val="20"/>
              </w:numPr>
              <w:spacing w:after="0" w:line="240" w:lineRule="auto"/>
              <w:ind w:left="139" w:hanging="283"/>
              <w:jc w:val="center"/>
              <w:rPr>
                <w:rFonts w:ascii="Times New Roman" w:hAnsi="Times New Roman"/>
                <w:lang w:eastAsia="ru-RU"/>
              </w:rPr>
            </w:pPr>
          </w:p>
        </w:tc>
        <w:tc>
          <w:tcPr>
            <w:tcW w:w="1681"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Игла для биопсии мягких тканей, одноразового использования</w:t>
            </w:r>
          </w:p>
        </w:tc>
        <w:tc>
          <w:tcPr>
            <w:tcW w:w="6387" w:type="dxa"/>
          </w:tcPr>
          <w:p w:rsidR="00304433" w:rsidRPr="00F17500" w:rsidRDefault="00304433" w:rsidP="00DD11EC">
            <w:pPr>
              <w:spacing w:after="0" w:line="240" w:lineRule="auto"/>
              <w:rPr>
                <w:rFonts w:ascii="Times New Roman" w:hAnsi="Times New Roman"/>
              </w:rPr>
            </w:pPr>
            <w:r w:rsidRPr="00F17500">
              <w:rPr>
                <w:rFonts w:ascii="Times New Roman" w:hAnsi="Times New Roman"/>
              </w:rPr>
              <w:t>Инструмент  предназначен для взятия образца ткани кожи  для гистологического подтверждения диагноза. Ребристая пластиковая рукоять с указанием размера инструмента. Должен быть металлический наконечник, надежно фиксируемый в рукояти с помощью запорного соединения. Должна быть бритвенная заточка режущей кромки инструмента. Размер: не менее 4 мм и не более 4,5мм, обозначен на рукояти инструмента. Инструмент должен быть упакован в мягкий пластиковый прозрачный блистер с нанесенными указаниями по эксплуатации и хранению. Также должна быть нанесена маркировка с указанием размеров, каталожного номера, стерильности, даты изготовления, сроков годности и номера партии. Стерилизована, предназначена для однократного применения</w:t>
            </w:r>
          </w:p>
        </w:tc>
        <w:tc>
          <w:tcPr>
            <w:tcW w:w="752"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20</w:t>
            </w:r>
          </w:p>
        </w:tc>
        <w:tc>
          <w:tcPr>
            <w:tcW w:w="701"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шт</w:t>
            </w:r>
          </w:p>
        </w:tc>
        <w:tc>
          <w:tcPr>
            <w:tcW w:w="1398" w:type="dxa"/>
          </w:tcPr>
          <w:p w:rsidR="00304433" w:rsidRPr="00F17500" w:rsidRDefault="00304433" w:rsidP="00DD11EC">
            <w:pPr>
              <w:spacing w:after="0" w:line="240" w:lineRule="auto"/>
              <w:jc w:val="center"/>
              <w:rPr>
                <w:rFonts w:ascii="Times New Roman" w:hAnsi="Times New Roman"/>
                <w:lang w:eastAsia="ru-RU"/>
              </w:rPr>
            </w:pPr>
            <w:r w:rsidRPr="00F17500">
              <w:rPr>
                <w:rFonts w:ascii="Times New Roman" w:hAnsi="Times New Roman"/>
                <w:lang w:eastAsia="ru-RU"/>
              </w:rPr>
              <w:t>32.50.13.110-00005166*</w:t>
            </w:r>
            <w:r>
              <w:rPr>
                <w:rFonts w:ascii="Times New Roman" w:hAnsi="Times New Roman"/>
                <w:lang w:eastAsia="ru-RU"/>
              </w:rPr>
              <w:t>*</w:t>
            </w: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841"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1120"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c>
          <w:tcPr>
            <w:tcW w:w="937" w:type="dxa"/>
            <w:shd w:val="clear" w:color="auto" w:fill="FFFFCC"/>
          </w:tcPr>
          <w:p w:rsidR="00304433" w:rsidRPr="000E0FFD" w:rsidRDefault="00304433" w:rsidP="00DD11EC">
            <w:pPr>
              <w:spacing w:after="0" w:line="240" w:lineRule="auto"/>
              <w:jc w:val="center"/>
              <w:rPr>
                <w:rFonts w:ascii="Times New Roman" w:hAnsi="Times New Roman"/>
                <w:lang w:eastAsia="ru-RU"/>
              </w:rPr>
            </w:pPr>
          </w:p>
        </w:tc>
      </w:tr>
    </w:tbl>
    <w:p w:rsidR="00304433" w:rsidRDefault="00304433" w:rsidP="00304433">
      <w:pPr>
        <w:pStyle w:val="a7"/>
        <w:widowControl w:val="0"/>
        <w:spacing w:after="0"/>
        <w:ind w:left="644"/>
        <w:rPr>
          <w:rFonts w:ascii="Times New Roman" w:hAnsi="Times New Roman"/>
          <w:b/>
          <w:sz w:val="28"/>
          <w:szCs w:val="28"/>
        </w:rPr>
      </w:pPr>
    </w:p>
    <w:p w:rsidR="00304433" w:rsidRPr="007C1B9F" w:rsidRDefault="00304433" w:rsidP="00082E62">
      <w:pPr>
        <w:pStyle w:val="a7"/>
        <w:widowControl w:val="0"/>
        <w:spacing w:after="0"/>
        <w:ind w:left="0" w:firstLine="709"/>
        <w:jc w:val="both"/>
        <w:rPr>
          <w:rFonts w:ascii="Times New Roman" w:hAnsi="Times New Roman"/>
          <w:i/>
          <w:sz w:val="28"/>
          <w:szCs w:val="28"/>
        </w:rPr>
      </w:pPr>
      <w:bookmarkStart w:id="23" w:name="_Ref518475891"/>
      <w:r w:rsidRPr="007C1B9F">
        <w:rPr>
          <w:rFonts w:ascii="Times New Roman" w:hAnsi="Times New Roman"/>
          <w:i/>
          <w:sz w:val="28"/>
          <w:szCs w:val="28"/>
        </w:rPr>
        <w:t>*</w:t>
      </w:r>
      <w:r>
        <w:rPr>
          <w:rFonts w:ascii="Times New Roman" w:hAnsi="Times New Roman"/>
          <w:i/>
          <w:sz w:val="28"/>
          <w:szCs w:val="28"/>
        </w:rPr>
        <w:t xml:space="preserve"> </w:t>
      </w:r>
      <w:r w:rsidRPr="007C1B9F">
        <w:rPr>
          <w:rFonts w:ascii="Times New Roman" w:hAnsi="Times New Roman"/>
          <w:i/>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170252" w:rsidRDefault="00304433" w:rsidP="00082E62">
      <w:pPr>
        <w:pStyle w:val="a7"/>
        <w:widowControl w:val="0"/>
        <w:spacing w:after="0"/>
        <w:ind w:left="0" w:firstLine="709"/>
        <w:jc w:val="both"/>
        <w:rPr>
          <w:rFonts w:ascii="Times New Roman" w:hAnsi="Times New Roman" w:cs="Times New Roman"/>
          <w:b/>
          <w:sz w:val="28"/>
          <w:szCs w:val="28"/>
        </w:rPr>
      </w:pPr>
      <w:r w:rsidRPr="007C1B9F">
        <w:rPr>
          <w:rFonts w:ascii="Times New Roman" w:hAnsi="Times New Roman"/>
          <w:i/>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r w:rsidRPr="007C1B9F">
        <w:rPr>
          <w:rFonts w:ascii="Times New Roman" w:hAnsi="Times New Roman"/>
          <w:i/>
          <w:sz w:val="28"/>
          <w:szCs w:val="28"/>
        </w:rPr>
        <w:t>.</w:t>
      </w:r>
    </w:p>
    <w:sectPr w:rsidR="00170252" w:rsidSect="00C2575C">
      <w:headerReference w:type="first" r:id="rId19"/>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F2" w:rsidRDefault="006C24F2">
      <w:pPr>
        <w:spacing w:after="0" w:line="240" w:lineRule="auto"/>
      </w:pPr>
      <w:r>
        <w:separator/>
      </w:r>
    </w:p>
  </w:endnote>
  <w:endnote w:type="continuationSeparator" w:id="0">
    <w:p w:rsidR="006C24F2" w:rsidRDefault="006C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B3BDD" w:rsidRDefault="002B3BD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B3BD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B3BD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B3BD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B3BD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F2" w:rsidRDefault="006C24F2">
      <w:pPr>
        <w:spacing w:after="0" w:line="240" w:lineRule="auto"/>
      </w:pPr>
      <w:r>
        <w:separator/>
      </w:r>
    </w:p>
  </w:footnote>
  <w:footnote w:type="continuationSeparator" w:id="0">
    <w:p w:rsidR="006C24F2" w:rsidRDefault="006C24F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B3BDD" w:rsidRDefault="002B3BD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B3BDD" w:rsidRDefault="002B3BD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B3BDD" w:rsidRDefault="002B3BD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E2C6A" w:rsidRDefault="002B3BDD"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2E62"/>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B3BDD"/>
    <w:rsid w:val="002C2CE3"/>
    <w:rsid w:val="002C473B"/>
    <w:rsid w:val="002D21DE"/>
    <w:rsid w:val="002E6D4A"/>
    <w:rsid w:val="002F1377"/>
    <w:rsid w:val="002F2BED"/>
    <w:rsid w:val="002F5BC1"/>
    <w:rsid w:val="002F6D7C"/>
    <w:rsid w:val="00304433"/>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24F2"/>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4463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B72B-4AE8-4147-8E94-E3EB8D71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3662</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2021-10-14T14:32:00Z</dcterms:created>
  <dcterms:modified xsi:type="dcterms:W3CDTF">2021-10-14T14:32:00Z</dcterms:modified>
</cp:coreProperties>
</file>