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2C0038F" wp14:editId="4B557C6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13.10.2020 № 05-07/1060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27.10.2020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01D6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68"/>
        <w:gridCol w:w="91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системы для интраперитонеальной гипертермической перфузии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21.12.2020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 Последняя дата подачи заявки на поставку 07.12.2020. Максимальное количество партий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417"/>
        <w:gridCol w:w="2427"/>
        <w:gridCol w:w="5000"/>
        <w:gridCol w:w="1300"/>
        <w:gridCol w:w="988"/>
        <w:gridCol w:w="911"/>
        <w:gridCol w:w="1621"/>
        <w:gridCol w:w="904"/>
        <w:gridCol w:w="1196"/>
        <w:gridCol w:w="1185"/>
      </w:tblGrid>
      <w:tr w:rsidR="00823553" w:rsidRPr="00DD68DC" w:rsidTr="00823553">
        <w:trPr>
          <w:trHeight w:val="20"/>
          <w:jc w:val="center"/>
        </w:trPr>
        <w:tc>
          <w:tcPr>
            <w:tcW w:w="132" w:type="pct"/>
            <w:tcBorders>
              <w:top w:val="single" w:sz="4" w:space="0" w:color="000000"/>
              <w:left w:val="single" w:sz="4" w:space="0" w:color="auto"/>
              <w:bottom w:val="single" w:sz="4" w:space="0" w:color="auto"/>
              <w:right w:val="single" w:sz="4" w:space="0" w:color="auto"/>
            </w:tcBorders>
            <w:noWrap/>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w:t>
            </w:r>
          </w:p>
        </w:tc>
        <w:tc>
          <w:tcPr>
            <w:tcW w:w="771" w:type="pct"/>
            <w:tcBorders>
              <w:top w:val="single" w:sz="4" w:space="0" w:color="000000"/>
              <w:left w:val="nil"/>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Наименование Товара</w:t>
            </w:r>
          </w:p>
        </w:tc>
        <w:tc>
          <w:tcPr>
            <w:tcW w:w="1573" w:type="pct"/>
            <w:tcBorders>
              <w:top w:val="single" w:sz="4" w:space="0" w:color="000000"/>
              <w:left w:val="nil"/>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Технические характеристики</w:t>
            </w:r>
          </w:p>
        </w:tc>
        <w:tc>
          <w:tcPr>
            <w:tcW w:w="413" w:type="pct"/>
            <w:tcBorders>
              <w:top w:val="single" w:sz="4" w:space="0" w:color="auto"/>
              <w:left w:val="nil"/>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 xml:space="preserve">Код </w:t>
            </w:r>
          </w:p>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ОКПД2</w:t>
            </w:r>
          </w:p>
        </w:tc>
        <w:tc>
          <w:tcPr>
            <w:tcW w:w="315" w:type="pct"/>
            <w:tcBorders>
              <w:top w:val="single" w:sz="4" w:space="0" w:color="000000"/>
              <w:left w:val="nil"/>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Ед. изм.</w:t>
            </w:r>
          </w:p>
        </w:tc>
        <w:tc>
          <w:tcPr>
            <w:tcW w:w="291" w:type="pct"/>
            <w:tcBorders>
              <w:top w:val="single" w:sz="4" w:space="0" w:color="000000"/>
              <w:left w:val="nil"/>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Кол-во</w:t>
            </w:r>
          </w:p>
        </w:tc>
        <w:tc>
          <w:tcPr>
            <w:tcW w:w="458" w:type="pct"/>
            <w:tcBorders>
              <w:top w:val="single" w:sz="4" w:space="0" w:color="000000"/>
              <w:left w:val="nil"/>
              <w:bottom w:val="single" w:sz="4" w:space="0" w:color="auto"/>
              <w:right w:val="single" w:sz="4" w:space="0" w:color="auto"/>
            </w:tcBorders>
            <w:hideMark/>
          </w:tcPr>
          <w:p w:rsidR="00823553" w:rsidRPr="00DD68DC" w:rsidRDefault="00823553" w:rsidP="003E2270">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 xml:space="preserve">Страна </w:t>
            </w:r>
            <w:r w:rsidR="003E2270" w:rsidRPr="00DD68DC">
              <w:rPr>
                <w:rFonts w:ascii="Times New Roman" w:eastAsia="Times New Roman" w:hAnsi="Times New Roman" w:cs="Times New Roman"/>
                <w:b/>
                <w:sz w:val="20"/>
                <w:szCs w:val="20"/>
                <w:lang w:eastAsia="ru-RU"/>
              </w:rPr>
              <w:t>происхождения</w:t>
            </w:r>
          </w:p>
        </w:tc>
        <w:tc>
          <w:tcPr>
            <w:tcW w:w="286" w:type="pct"/>
            <w:tcBorders>
              <w:top w:val="single" w:sz="4" w:space="0" w:color="auto"/>
              <w:left w:val="nil"/>
              <w:bottom w:val="single" w:sz="4" w:space="0" w:color="auto"/>
              <w:right w:val="single" w:sz="4" w:space="0" w:color="auto"/>
            </w:tcBorders>
            <w:shd w:val="clear" w:color="000000" w:fill="FFFF00"/>
            <w:noWrap/>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НДС %</w:t>
            </w:r>
          </w:p>
        </w:tc>
        <w:tc>
          <w:tcPr>
            <w:tcW w:w="380" w:type="pct"/>
            <w:tcBorders>
              <w:top w:val="single" w:sz="4" w:space="0" w:color="auto"/>
              <w:left w:val="nil"/>
              <w:bottom w:val="single" w:sz="4" w:space="0" w:color="auto"/>
              <w:right w:val="single" w:sz="4" w:space="0" w:color="auto"/>
            </w:tcBorders>
            <w:shd w:val="clear" w:color="000000" w:fill="FFFF00"/>
            <w:noWrap/>
            <w:hideMark/>
          </w:tcPr>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Цена за ед.</w:t>
            </w:r>
          </w:p>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Товара без</w:t>
            </w:r>
          </w:p>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 xml:space="preserve">НДС </w:t>
            </w:r>
          </w:p>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lang w:eastAsia="ru-RU"/>
              </w:rPr>
              <w:t>(руб.)</w:t>
            </w:r>
          </w:p>
        </w:tc>
        <w:tc>
          <w:tcPr>
            <w:tcW w:w="380" w:type="pct"/>
            <w:tcBorders>
              <w:top w:val="single" w:sz="4" w:space="0" w:color="auto"/>
              <w:left w:val="nil"/>
              <w:bottom w:val="single" w:sz="4" w:space="0" w:color="auto"/>
              <w:right w:val="single" w:sz="4" w:space="0" w:color="auto"/>
            </w:tcBorders>
            <w:shd w:val="clear" w:color="000000" w:fill="FFFF00"/>
            <w:noWrap/>
            <w:hideMark/>
          </w:tcPr>
          <w:p w:rsidR="00823553" w:rsidRPr="00DD68DC" w:rsidRDefault="00823553" w:rsidP="008235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D68DC">
              <w:rPr>
                <w:rFonts w:ascii="Times New Roman" w:eastAsia="Times New Roman" w:hAnsi="Times New Roman" w:cs="Times New Roman"/>
                <w:b/>
                <w:sz w:val="20"/>
                <w:szCs w:val="20"/>
              </w:rPr>
              <w:t>Сумма без</w:t>
            </w:r>
          </w:p>
          <w:p w:rsidR="00823553" w:rsidRPr="00DD68DC" w:rsidRDefault="00823553" w:rsidP="00823553">
            <w:pPr>
              <w:spacing w:after="0" w:line="240" w:lineRule="auto"/>
              <w:jc w:val="center"/>
              <w:rPr>
                <w:rFonts w:ascii="Times New Roman" w:eastAsia="Times New Roman" w:hAnsi="Times New Roman" w:cs="Times New Roman"/>
                <w:b/>
                <w:sz w:val="20"/>
                <w:szCs w:val="20"/>
              </w:rPr>
            </w:pPr>
            <w:r w:rsidRPr="00DD68DC">
              <w:rPr>
                <w:rFonts w:ascii="Times New Roman" w:eastAsia="Times New Roman" w:hAnsi="Times New Roman" w:cs="Times New Roman"/>
                <w:b/>
                <w:sz w:val="20"/>
                <w:szCs w:val="20"/>
              </w:rPr>
              <w:t xml:space="preserve">НДС </w:t>
            </w:r>
          </w:p>
          <w:p w:rsidR="00823553" w:rsidRPr="00DD68DC" w:rsidRDefault="00823553" w:rsidP="00823553">
            <w:pPr>
              <w:spacing w:after="0" w:line="240" w:lineRule="auto"/>
              <w:jc w:val="center"/>
              <w:rPr>
                <w:rFonts w:ascii="Times New Roman" w:eastAsia="Times New Roman" w:hAnsi="Times New Roman" w:cs="Times New Roman"/>
                <w:b/>
                <w:sz w:val="20"/>
                <w:szCs w:val="20"/>
                <w:lang w:eastAsia="ru-RU"/>
              </w:rPr>
            </w:pPr>
            <w:r w:rsidRPr="00DD68DC">
              <w:rPr>
                <w:rFonts w:ascii="Times New Roman" w:eastAsia="Times New Roman" w:hAnsi="Times New Roman" w:cs="Times New Roman"/>
                <w:b/>
                <w:sz w:val="20"/>
                <w:szCs w:val="20"/>
              </w:rPr>
              <w:t>(руб.)</w:t>
            </w:r>
          </w:p>
        </w:tc>
      </w:tr>
      <w:tr w:rsidR="00823553" w:rsidRPr="00DD68DC" w:rsidTr="00823553">
        <w:trPr>
          <w:trHeight w:val="20"/>
          <w:jc w:val="center"/>
        </w:trPr>
        <w:tc>
          <w:tcPr>
            <w:tcW w:w="132" w:type="pct"/>
            <w:tcBorders>
              <w:top w:val="nil"/>
              <w:left w:val="single" w:sz="4" w:space="0" w:color="auto"/>
              <w:bottom w:val="single" w:sz="4" w:space="0" w:color="auto"/>
              <w:right w:val="single" w:sz="4" w:space="0" w:color="auto"/>
            </w:tcBorders>
            <w:noWrap/>
            <w:hideMark/>
          </w:tcPr>
          <w:p w:rsidR="00823553" w:rsidRPr="00DD68DC" w:rsidRDefault="00823553" w:rsidP="007F0851">
            <w:pPr>
              <w:spacing w:after="0" w:line="240" w:lineRule="auto"/>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1</w:t>
            </w:r>
          </w:p>
        </w:tc>
        <w:tc>
          <w:tcPr>
            <w:tcW w:w="771" w:type="pct"/>
            <w:tcBorders>
              <w:top w:val="single" w:sz="4" w:space="0" w:color="auto"/>
              <w:left w:val="single" w:sz="4" w:space="0" w:color="000000"/>
              <w:bottom w:val="single" w:sz="4" w:space="0" w:color="auto"/>
              <w:right w:val="single" w:sz="4" w:space="0" w:color="auto"/>
            </w:tcBorders>
            <w:hideMark/>
          </w:tcPr>
          <w:p w:rsidR="00823553" w:rsidRPr="00DD68DC" w:rsidRDefault="00823553" w:rsidP="00823553">
            <w:pPr>
              <w:rPr>
                <w:rFonts w:ascii="Times New Roman" w:eastAsia="Times New Roman" w:hAnsi="Times New Roman" w:cs="Times New Roman"/>
                <w:sz w:val="20"/>
                <w:szCs w:val="20"/>
              </w:rPr>
            </w:pPr>
            <w:r w:rsidRPr="00DD68DC">
              <w:rPr>
                <w:rFonts w:ascii="Times New Roman" w:eastAsia="Times New Roman" w:hAnsi="Times New Roman" w:cs="Times New Roman"/>
                <w:sz w:val="20"/>
                <w:szCs w:val="20"/>
              </w:rPr>
              <w:t>Система для интраперитонеальной гипертермической перфузии</w:t>
            </w:r>
          </w:p>
        </w:tc>
        <w:tc>
          <w:tcPr>
            <w:tcW w:w="1573" w:type="pct"/>
            <w:tcBorders>
              <w:top w:val="single" w:sz="4" w:space="0" w:color="auto"/>
              <w:left w:val="single" w:sz="4" w:space="0" w:color="auto"/>
              <w:bottom w:val="single" w:sz="4" w:space="0" w:color="auto"/>
              <w:right w:val="single" w:sz="4" w:space="0" w:color="auto"/>
            </w:tcBorders>
            <w:hideMark/>
          </w:tcPr>
          <w:p w:rsidR="00823553" w:rsidRPr="00DD68DC" w:rsidRDefault="00823553" w:rsidP="007F0851">
            <w:pPr>
              <w:jc w:val="both"/>
              <w:rPr>
                <w:rFonts w:ascii="Times New Roman" w:eastAsia="Times New Roman" w:hAnsi="Times New Roman" w:cs="Times New Roman"/>
                <w:sz w:val="20"/>
                <w:szCs w:val="20"/>
              </w:rPr>
            </w:pPr>
            <w:r w:rsidRPr="00DD68DC">
              <w:rPr>
                <w:rFonts w:ascii="Times New Roman" w:eastAsia="Times New Roman" w:hAnsi="Times New Roman" w:cs="Times New Roman"/>
                <w:sz w:val="20"/>
                <w:szCs w:val="20"/>
              </w:rPr>
              <w:t>Одноразовый стерильный набор магистралей, интегрированный с фильтрами, датчиками температуры, укомплектованный дренажами и дополнительным мешком, предназначенный для проведения гипертермической химиоперфузии (интраперитонеальной, интраторакальной). Полная совместимость с прибором Performer HT для проведения процедуры гипертермической химиоперфузии. Составные части магистралей должны быть полностью сделаны из нетоксичных, апирогенных, не содержащих латекса материалов, пригодных для использования в медицинских целях, и специально предназначены для применения в онкологии для гипертермической интраперитонеальной и интраплевральной перфузии.  Комплектность набора: Один набор магистралей, подсоединяемый к прибору Performer HT, нагревательный мешок, один набор магистралей для подсоединения к пациенту, пять закругленных силиконовых катетеров, дополнительный 5-литровый мешок для отходов, три температурных датчика общецелевого назначения «Mon-a-therm» серии 400. Технические характеристики набора: Рекомендуемый поток перфузии: до 2000 мл/мин. Рабочая температура: от 37 до 46°C. Общий объем заполнения экстракорпорального контура (включая магистрали настольного пакета): 500 мл. Общий объем заполнения: 1000 мл (включая минимум 500 мл в фильтруемом резервуаре). Характеристика набора магистралей для подсоединения к пациенту: Термоизолированные магистрали, идущие к пациенту/от пациента, оснащенные интегрированными температурными датчиками. Характеристика набора магистралей, подсоединямых к прибору Performer HT. Коннекторы датчиков давления должны быть оснащены гидрофобными фильтрами; на магистрали должны быть переходники типа Clave для введения лекарственных препаратов в контур; части магистрали должны содержать цветовую маркировку, позволяющую обеспечить правильное подсоединение магистрали к прибору; мягкий мешок с расположенным внутри фильтром, а также линии заполнения, должны быть оснащены ручными зажимами.</w:t>
            </w:r>
          </w:p>
        </w:tc>
        <w:tc>
          <w:tcPr>
            <w:tcW w:w="413" w:type="pct"/>
            <w:tcBorders>
              <w:top w:val="single" w:sz="4" w:space="0" w:color="auto"/>
              <w:left w:val="single" w:sz="4" w:space="0" w:color="auto"/>
              <w:bottom w:val="single" w:sz="4" w:space="0" w:color="auto"/>
              <w:right w:val="single" w:sz="4" w:space="0" w:color="auto"/>
            </w:tcBorders>
            <w:hideMark/>
          </w:tcPr>
          <w:p w:rsidR="00823553" w:rsidRPr="00DD68DC" w:rsidRDefault="00823553" w:rsidP="00823553">
            <w:pPr>
              <w:spacing w:after="0" w:line="240" w:lineRule="auto"/>
              <w:jc w:val="center"/>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32.50.13.190</w:t>
            </w:r>
          </w:p>
        </w:tc>
        <w:tc>
          <w:tcPr>
            <w:tcW w:w="315" w:type="pct"/>
            <w:tcBorders>
              <w:top w:val="single" w:sz="4" w:space="0" w:color="auto"/>
              <w:left w:val="single" w:sz="4" w:space="0" w:color="auto"/>
              <w:bottom w:val="single" w:sz="4" w:space="0" w:color="auto"/>
              <w:right w:val="single" w:sz="4" w:space="0" w:color="auto"/>
            </w:tcBorders>
            <w:noWrap/>
            <w:hideMark/>
          </w:tcPr>
          <w:p w:rsidR="00823553" w:rsidRPr="00DD68DC" w:rsidRDefault="00823553" w:rsidP="00823553">
            <w:pPr>
              <w:spacing w:after="0" w:line="240" w:lineRule="auto"/>
              <w:jc w:val="center"/>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шт</w:t>
            </w:r>
          </w:p>
        </w:tc>
        <w:tc>
          <w:tcPr>
            <w:tcW w:w="291" w:type="pct"/>
            <w:tcBorders>
              <w:top w:val="single" w:sz="4" w:space="0" w:color="auto"/>
              <w:left w:val="single" w:sz="4" w:space="0" w:color="auto"/>
              <w:bottom w:val="single" w:sz="4" w:space="0" w:color="auto"/>
              <w:right w:val="single" w:sz="4" w:space="0" w:color="auto"/>
            </w:tcBorders>
            <w:noWrap/>
            <w:hideMark/>
          </w:tcPr>
          <w:p w:rsidR="00823553" w:rsidRPr="00DD68DC" w:rsidRDefault="00823553" w:rsidP="00823553">
            <w:pPr>
              <w:spacing w:after="0" w:line="240" w:lineRule="auto"/>
              <w:jc w:val="center"/>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6</w:t>
            </w:r>
          </w:p>
        </w:tc>
        <w:tc>
          <w:tcPr>
            <w:tcW w:w="458" w:type="pct"/>
            <w:tcBorders>
              <w:top w:val="single" w:sz="4" w:space="0" w:color="auto"/>
              <w:left w:val="single" w:sz="4" w:space="0" w:color="auto"/>
              <w:bottom w:val="single" w:sz="4" w:space="0" w:color="auto"/>
              <w:right w:val="single" w:sz="4" w:space="0" w:color="auto"/>
            </w:tcBorders>
            <w:noWrap/>
            <w:vAlign w:val="bottom"/>
          </w:tcPr>
          <w:p w:rsidR="00823553" w:rsidRPr="00DD68DC" w:rsidRDefault="00823553" w:rsidP="007F0851">
            <w:pPr>
              <w:spacing w:after="0" w:line="240" w:lineRule="auto"/>
              <w:jc w:val="both"/>
              <w:rPr>
                <w:rFonts w:ascii="Times New Roman" w:eastAsia="Times New Roman" w:hAnsi="Times New Roman" w:cs="Times New Roman"/>
                <w:sz w:val="20"/>
                <w:szCs w:val="20"/>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3553" w:rsidRPr="00DD68DC" w:rsidRDefault="00823553" w:rsidP="007F0851">
            <w:pPr>
              <w:spacing w:after="0" w:line="240" w:lineRule="auto"/>
              <w:jc w:val="both"/>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3553" w:rsidRPr="00DD68DC" w:rsidRDefault="00823553" w:rsidP="007F0851">
            <w:pPr>
              <w:spacing w:after="0" w:line="240" w:lineRule="auto"/>
              <w:jc w:val="both"/>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3553" w:rsidRPr="00DD68DC" w:rsidRDefault="00823553" w:rsidP="007F0851">
            <w:pPr>
              <w:spacing w:after="0" w:line="240" w:lineRule="auto"/>
              <w:jc w:val="both"/>
              <w:rPr>
                <w:rFonts w:ascii="Times New Roman" w:eastAsia="Times New Roman" w:hAnsi="Times New Roman" w:cs="Times New Roman"/>
                <w:sz w:val="20"/>
                <w:szCs w:val="20"/>
                <w:lang w:eastAsia="ru-RU"/>
              </w:rPr>
            </w:pPr>
            <w:r w:rsidRPr="00DD68DC">
              <w:rPr>
                <w:rFonts w:ascii="Times New Roman" w:eastAsia="Times New Roman" w:hAnsi="Times New Roman" w:cs="Times New Roman"/>
                <w:sz w:val="20"/>
                <w:szCs w:val="20"/>
                <w:lang w:eastAsia="ru-RU"/>
              </w:rPr>
              <w:t> </w:t>
            </w:r>
          </w:p>
        </w:tc>
      </w:tr>
    </w:tbl>
    <w:p w:rsidR="00170252" w:rsidRDefault="00170252" w:rsidP="003E2270">
      <w:pPr>
        <w:rPr>
          <w:rFonts w:ascii="Times New Roman" w:hAnsi="Times New Roman" w:cs="Times New Roman"/>
          <w:b/>
          <w:sz w:val="28"/>
          <w:szCs w:val="28"/>
        </w:rPr>
      </w:pPr>
    </w:p>
    <w:sectPr w:rsidR="00170252" w:rsidSect="00823553">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93" w:rsidRDefault="00253093">
      <w:pPr>
        <w:spacing w:after="0" w:line="240" w:lineRule="auto"/>
      </w:pPr>
      <w:r>
        <w:separator/>
      </w:r>
    </w:p>
  </w:endnote>
  <w:endnote w:type="continuationSeparator" w:id="0">
    <w:p w:rsidR="00253093" w:rsidRDefault="002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1D69" w:rsidRDefault="00201D6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01D6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01D6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01D6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01D6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93" w:rsidRDefault="00253093">
      <w:pPr>
        <w:spacing w:after="0" w:line="240" w:lineRule="auto"/>
      </w:pPr>
      <w:r>
        <w:separator/>
      </w:r>
    </w:p>
  </w:footnote>
  <w:footnote w:type="continuationSeparator" w:id="0">
    <w:p w:rsidR="00253093" w:rsidRDefault="0025309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1D69" w:rsidRDefault="00201D6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1D69" w:rsidRDefault="00201D6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1D69" w:rsidRDefault="00201D6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64CA"/>
    <w:rsid w:val="001C3568"/>
    <w:rsid w:val="001C3FE4"/>
    <w:rsid w:val="001E2F36"/>
    <w:rsid w:val="001F4949"/>
    <w:rsid w:val="001F575C"/>
    <w:rsid w:val="00201D69"/>
    <w:rsid w:val="00204D4E"/>
    <w:rsid w:val="0021224E"/>
    <w:rsid w:val="00213BCE"/>
    <w:rsid w:val="002163C8"/>
    <w:rsid w:val="00221C8B"/>
    <w:rsid w:val="00225BCF"/>
    <w:rsid w:val="002329D0"/>
    <w:rsid w:val="002420F4"/>
    <w:rsid w:val="00251D64"/>
    <w:rsid w:val="00253093"/>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2270"/>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41CB"/>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3553"/>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8DC"/>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544C-347F-4A59-B12E-C94A333F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2020-10-13T10:24:00Z</dcterms:created>
  <dcterms:modified xsi:type="dcterms:W3CDTF">2020-10-13T10:24:00Z</dcterms:modified>
</cp:coreProperties>
</file>