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1FE54B95" wp14:editId="3A915A9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13.01.2026 № 21.1-03/4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2B140E">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C010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 Поставка осуществляется партиями, по заявкам
                <w:br/>
                - Срок исполнения одной заявки 30 (тридцать) календарных дней после поступления заявки от Покупателя; 
                <w:br/>
                - Последняя дата подачи заявки на поставку не позднее 27.02.2026; 
                <w:br/>
                - Максимальное количество партий: не более 3 (трех)
                <w:br/>
                <w:br/>
              </w:t>
            </w:r>
            <w:r w:rsidRPr="00C15FD9">
              <w:rPr>
                <w:rFonts w:ascii="Times New Roman" w:hAnsi="Times New Roman" w:cs="Times New Roman"/>
                <w:noProof/>
                <w:sz w:val="24"/>
                <w:szCs w:val="24"/>
              </w:rPr>
              <w:t xml:space="preserve"/>
            </w:r>
            <w:r w:rsidRPr="00C15FD9">
              <w:rPr>
                <w:rFonts w:ascii="Times New Roman" w:hAnsi="Times New Roman" w:cs="Times New Roman"/>
                <w:noProof/>
                <w:sz w:val="24"/>
                <w:szCs w:val="24"/>
              </w:rPr>
              <w:t xml:space="preserve"/>
            </w:r>
            <w:r w:rsidRPr="00C15FD9">
              <w:rPr>
                <w:rFonts w:ascii="Times New Roman" w:hAnsi="Times New Roman" w:cs="Times New Roman"/>
                <w:noProof/>
                <w:sz w:val="24"/>
                <w:szCs w:val="24"/>
              </w:rP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Действующие 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Активность, на момент поставки, должна соответствовать заявке Заказчика</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эксплуатацию радиационных источников.</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Поставщик обязан обеспечить транспортировку радиационных источников организацией, имеющей соответствующую лицензию на транспортировку радиационных источников (располагать такой лицензией либо заключить договор с организацией, имеющей такую лицензию).источников организацией, имеющей соответствующую лицензию на транспортировку радиационных источников (располагать такой лицензией либо заключить договор с организацией, имеющей такую лицензию).</w:t>
            </w:r>
            <w:r w:rsidRPr="00C15FD9">
              <w:rPr>
                <w:rFonts w:ascii="Times New Roman" w:hAnsi="Times New Roman" w:cs="Times New Roman"/>
                <w:noProof/>
                <w:sz w:val="24"/>
                <w:szCs w:val="24"/>
              </w:rPr>
              <w:lastRenderedPageBreak/>
              <w:t>соответствующую лицензию на транспортировку радиационных источников (располагать такой лицензией либо заключить договор с организацией, имеющей такую лицензию).источников организацией, имеющей соответствующую лицензию на транспортировку радиационных источников (располагать такой лицензией либо заключить договор с организацией, имеющей такую лицензию).</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0820E3" w:rsidRPr="000437D6" w:rsidRDefault="002B140E" w:rsidP="002B140E">
      <w:pPr>
        <w:tabs>
          <w:tab w:val="left" w:pos="6225"/>
          <w:tab w:val="center" w:pos="7711"/>
        </w:tabs>
        <w:ind w:left="-426" w:right="-1" w:firstLine="568"/>
        <w:rPr>
          <w:rFonts w:ascii="Times New Roman" w:eastAsia="Courier New" w:hAnsi="Times New Roman" w:cs="Times New Roman"/>
          <w:b/>
        </w:rPr>
      </w:pPr>
      <w:r>
        <w:rPr>
          <w:rFonts w:ascii="Times New Roman" w:hAnsi="Times New Roman" w:cs="Times New Roman"/>
          <w:b/>
          <w:sz w:val="28"/>
          <w:szCs w:val="28"/>
        </w:rPr>
        <w:tab/>
      </w:r>
      <w:bookmarkEnd w:id="0"/>
      <w:r w:rsidR="00C14573">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8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94"/>
        <w:gridCol w:w="1551"/>
        <w:gridCol w:w="2692"/>
        <w:gridCol w:w="698"/>
        <w:gridCol w:w="1786"/>
        <w:gridCol w:w="704"/>
        <w:gridCol w:w="751"/>
        <w:gridCol w:w="1590"/>
        <w:gridCol w:w="1273"/>
        <w:gridCol w:w="813"/>
        <w:gridCol w:w="1207"/>
        <w:gridCol w:w="1048"/>
      </w:tblGrid>
      <w:tr w:rsidR="002B140E" w:rsidRPr="001D0198" w:rsidTr="00763F3D">
        <w:tc>
          <w:tcPr>
            <w:tcW w:w="129"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w:t>
            </w:r>
          </w:p>
        </w:tc>
        <w:tc>
          <w:tcPr>
            <w:tcW w:w="603"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Наименование</w:t>
            </w:r>
          </w:p>
        </w:tc>
        <w:tc>
          <w:tcPr>
            <w:tcW w:w="2034" w:type="pct"/>
            <w:gridSpan w:val="4"/>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Технические характеристики</w:t>
            </w:r>
          </w:p>
        </w:tc>
        <w:tc>
          <w:tcPr>
            <w:tcW w:w="213"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Ед. изм.</w:t>
            </w:r>
          </w:p>
        </w:tc>
        <w:tc>
          <w:tcPr>
            <w:tcW w:w="227"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Кол-во</w:t>
            </w:r>
          </w:p>
        </w:tc>
        <w:tc>
          <w:tcPr>
            <w:tcW w:w="481" w:type="pct"/>
          </w:tcPr>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ОКПД2/</w:t>
            </w:r>
          </w:p>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КТРУ</w:t>
            </w:r>
          </w:p>
        </w:tc>
        <w:tc>
          <w:tcPr>
            <w:tcW w:w="385" w:type="pct"/>
            <w:shd w:val="clear" w:color="auto" w:fill="FFFF99"/>
          </w:tcPr>
          <w:p w:rsidR="002B140E" w:rsidRDefault="002B140E" w:rsidP="00763F3D">
            <w:pPr>
              <w:spacing w:after="0" w:line="240" w:lineRule="auto"/>
              <w:jc w:val="center"/>
              <w:rPr>
                <w:rFonts w:ascii="Times New Roman" w:eastAsia="Times New Roman" w:hAnsi="Times New Roman" w:cs="Times New Roman"/>
                <w:b/>
                <w:sz w:val="18"/>
                <w:szCs w:val="18"/>
              </w:rPr>
            </w:pPr>
            <w:r w:rsidRPr="001D0198">
              <w:rPr>
                <w:rFonts w:ascii="Times New Roman" w:eastAsia="Times New Roman" w:hAnsi="Times New Roman" w:cs="Times New Roman"/>
                <w:b/>
                <w:sz w:val="18"/>
                <w:szCs w:val="18"/>
              </w:rPr>
              <w:t xml:space="preserve">Страна </w:t>
            </w:r>
          </w:p>
          <w:p w:rsidR="002B140E" w:rsidRPr="001D0198" w:rsidRDefault="002B140E" w:rsidP="00763F3D">
            <w:pPr>
              <w:spacing w:after="0" w:line="240" w:lineRule="auto"/>
              <w:jc w:val="center"/>
              <w:rPr>
                <w:rFonts w:ascii="Times New Roman" w:eastAsia="Calibri" w:hAnsi="Times New Roman" w:cs="Times New Roman"/>
                <w:b/>
                <w:sz w:val="18"/>
                <w:szCs w:val="18"/>
              </w:rPr>
            </w:pPr>
          </w:p>
        </w:tc>
        <w:tc>
          <w:tcPr>
            <w:tcW w:w="246" w:type="pct"/>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r w:rsidRPr="001D0198">
              <w:rPr>
                <w:rFonts w:ascii="Times New Roman" w:eastAsia="Times New Roman" w:hAnsi="Times New Roman" w:cs="Times New Roman"/>
                <w:b/>
                <w:sz w:val="18"/>
                <w:szCs w:val="18"/>
              </w:rPr>
              <w:t xml:space="preserve">НДС </w:t>
            </w:r>
          </w:p>
          <w:p w:rsidR="002B140E" w:rsidRPr="001D0198" w:rsidRDefault="002B140E" w:rsidP="00763F3D">
            <w:pPr>
              <w:spacing w:after="0" w:line="240" w:lineRule="auto"/>
              <w:jc w:val="center"/>
              <w:rPr>
                <w:rFonts w:ascii="Times New Roman" w:eastAsia="Times New Roman" w:hAnsi="Times New Roman" w:cs="Times New Roman"/>
                <w:b/>
                <w:sz w:val="18"/>
                <w:szCs w:val="18"/>
              </w:rPr>
            </w:pPr>
            <w:r w:rsidRPr="001D0198">
              <w:rPr>
                <w:rFonts w:ascii="Times New Roman" w:eastAsia="Times New Roman" w:hAnsi="Times New Roman" w:cs="Times New Roman"/>
                <w:b/>
                <w:sz w:val="18"/>
                <w:szCs w:val="18"/>
              </w:rPr>
              <w:t>(%)</w:t>
            </w:r>
          </w:p>
        </w:tc>
        <w:tc>
          <w:tcPr>
            <w:tcW w:w="365" w:type="pct"/>
            <w:shd w:val="clear" w:color="auto" w:fill="FFFF99"/>
          </w:tcPr>
          <w:p w:rsidR="002B140E" w:rsidRDefault="002B140E" w:rsidP="00763F3D">
            <w:pPr>
              <w:spacing w:after="0" w:line="240" w:lineRule="auto"/>
              <w:jc w:val="center"/>
              <w:rPr>
                <w:rFonts w:ascii="Times New Roman" w:eastAsia="Times New Roman" w:hAnsi="Times New Roman" w:cs="Times New Roman"/>
                <w:b/>
                <w:sz w:val="18"/>
                <w:szCs w:val="18"/>
              </w:rPr>
            </w:pPr>
            <w:r w:rsidRPr="001D0198">
              <w:rPr>
                <w:rFonts w:ascii="Times New Roman" w:eastAsia="Times New Roman" w:hAnsi="Times New Roman" w:cs="Times New Roman"/>
                <w:b/>
                <w:sz w:val="18"/>
                <w:szCs w:val="18"/>
              </w:rPr>
              <w:t xml:space="preserve">Цена за ед. </w:t>
            </w:r>
            <w:r>
              <w:rPr>
                <w:rFonts w:ascii="Times New Roman" w:eastAsia="Times New Roman" w:hAnsi="Times New Roman" w:cs="Times New Roman"/>
                <w:b/>
                <w:sz w:val="18"/>
                <w:szCs w:val="18"/>
              </w:rPr>
              <w:t>без</w:t>
            </w:r>
            <w:r w:rsidRPr="001D0198">
              <w:rPr>
                <w:rFonts w:ascii="Times New Roman" w:eastAsia="Times New Roman" w:hAnsi="Times New Roman" w:cs="Times New Roman"/>
                <w:b/>
                <w:sz w:val="18"/>
                <w:szCs w:val="18"/>
              </w:rPr>
              <w:t xml:space="preserve"> НДС </w:t>
            </w:r>
          </w:p>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Times New Roman" w:hAnsi="Times New Roman" w:cs="Times New Roman"/>
                <w:b/>
                <w:sz w:val="18"/>
                <w:szCs w:val="18"/>
              </w:rPr>
              <w:t>(руб)</w:t>
            </w:r>
          </w:p>
        </w:tc>
        <w:tc>
          <w:tcPr>
            <w:tcW w:w="317" w:type="pct"/>
            <w:shd w:val="clear" w:color="auto" w:fill="FFFF99"/>
          </w:tcPr>
          <w:p w:rsidR="002B140E" w:rsidRDefault="002B140E" w:rsidP="00763F3D">
            <w:pPr>
              <w:spacing w:after="0" w:line="240" w:lineRule="auto"/>
              <w:jc w:val="center"/>
              <w:rPr>
                <w:rFonts w:ascii="Times New Roman" w:eastAsia="Times New Roman" w:hAnsi="Times New Roman" w:cs="Times New Roman"/>
                <w:b/>
                <w:sz w:val="18"/>
                <w:szCs w:val="18"/>
              </w:rPr>
            </w:pPr>
            <w:r w:rsidRPr="001D0198">
              <w:rPr>
                <w:rFonts w:ascii="Times New Roman" w:eastAsia="Times New Roman" w:hAnsi="Times New Roman" w:cs="Times New Roman"/>
                <w:b/>
                <w:sz w:val="18"/>
                <w:szCs w:val="18"/>
              </w:rPr>
              <w:t xml:space="preserve">Сумма </w:t>
            </w:r>
          </w:p>
          <w:p w:rsidR="002B140E" w:rsidRPr="001D0198" w:rsidRDefault="002B140E" w:rsidP="00763F3D">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без</w:t>
            </w:r>
            <w:r w:rsidRPr="001D0198">
              <w:rPr>
                <w:rFonts w:ascii="Times New Roman" w:eastAsia="Times New Roman" w:hAnsi="Times New Roman" w:cs="Times New Roman"/>
                <w:b/>
                <w:sz w:val="18"/>
                <w:szCs w:val="18"/>
              </w:rPr>
              <w:t xml:space="preserve"> НДС </w:t>
            </w:r>
          </w:p>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Times New Roman" w:hAnsi="Times New Roman" w:cs="Times New Roman"/>
                <w:b/>
                <w:sz w:val="18"/>
                <w:szCs w:val="18"/>
              </w:rPr>
              <w:t>(руб)</w:t>
            </w:r>
          </w:p>
        </w:tc>
      </w:tr>
      <w:tr w:rsidR="002B140E" w:rsidRPr="001D0198" w:rsidTr="00763F3D">
        <w:tc>
          <w:tcPr>
            <w:tcW w:w="129" w:type="pct"/>
            <w:vMerge w:val="restart"/>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1</w:t>
            </w:r>
          </w:p>
        </w:tc>
        <w:tc>
          <w:tcPr>
            <w:tcW w:w="603" w:type="pct"/>
            <w:vMerge w:val="restart"/>
            <w:shd w:val="clear" w:color="FFFFFF" w:fill="auto"/>
          </w:tcPr>
          <w:p w:rsidR="002B140E" w:rsidRPr="001D0198" w:rsidRDefault="002B140E" w:rsidP="00763F3D">
            <w:pPr>
              <w:spacing w:after="0" w:line="240" w:lineRule="auto"/>
              <w:rPr>
                <w:rFonts w:ascii="Times New Roman" w:eastAsia="Calibri" w:hAnsi="Times New Roman" w:cs="Times New Roman"/>
                <w:b/>
                <w:sz w:val="18"/>
                <w:szCs w:val="18"/>
              </w:rPr>
            </w:pPr>
            <w:r w:rsidRPr="001D0198">
              <w:rPr>
                <w:rFonts w:ascii="Times New Roman" w:eastAsia="Calibri" w:hAnsi="Times New Roman" w:cs="Times New Roman"/>
                <w:b/>
                <w:sz w:val="18"/>
                <w:szCs w:val="18"/>
              </w:rPr>
              <w:t>Маркер для локализации области патологии, имплантируемый</w:t>
            </w:r>
          </w:p>
        </w:tc>
        <w:tc>
          <w:tcPr>
            <w:tcW w:w="469"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 xml:space="preserve">Наименование </w:t>
            </w:r>
          </w:p>
          <w:p w:rsidR="002B140E" w:rsidRPr="001D0198" w:rsidRDefault="002B140E" w:rsidP="00763F3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характеристик</w:t>
            </w:r>
            <w:r w:rsidRPr="001D0198">
              <w:rPr>
                <w:rFonts w:ascii="Times New Roman" w:eastAsia="Calibri" w:hAnsi="Times New Roman" w:cs="Times New Roman"/>
                <w:b/>
                <w:sz w:val="18"/>
                <w:szCs w:val="18"/>
              </w:rPr>
              <w:t>и</w:t>
            </w:r>
          </w:p>
        </w:tc>
        <w:tc>
          <w:tcPr>
            <w:tcW w:w="814"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 xml:space="preserve">Значение </w:t>
            </w:r>
            <w:r>
              <w:rPr>
                <w:rFonts w:ascii="Times New Roman" w:eastAsia="Calibri" w:hAnsi="Times New Roman" w:cs="Times New Roman"/>
                <w:b/>
                <w:sz w:val="18"/>
                <w:szCs w:val="18"/>
              </w:rPr>
              <w:t>характеристик</w:t>
            </w:r>
            <w:r w:rsidRPr="001D0198">
              <w:rPr>
                <w:rFonts w:ascii="Times New Roman" w:eastAsia="Calibri" w:hAnsi="Times New Roman" w:cs="Times New Roman"/>
                <w:b/>
                <w:sz w:val="18"/>
                <w:szCs w:val="18"/>
              </w:rPr>
              <w:t>и</w:t>
            </w:r>
          </w:p>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211"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Ед.</w:t>
            </w:r>
          </w:p>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изм.</w:t>
            </w:r>
          </w:p>
        </w:tc>
        <w:tc>
          <w:tcPr>
            <w:tcW w:w="540"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 xml:space="preserve">Инструкция по заполнению </w:t>
            </w:r>
            <w:r>
              <w:rPr>
                <w:rFonts w:ascii="Times New Roman" w:eastAsia="Calibri" w:hAnsi="Times New Roman" w:cs="Times New Roman"/>
                <w:b/>
                <w:sz w:val="18"/>
                <w:szCs w:val="18"/>
              </w:rPr>
              <w:t>характеристик</w:t>
            </w:r>
            <w:r w:rsidRPr="001D0198">
              <w:rPr>
                <w:rFonts w:ascii="Times New Roman" w:eastAsia="Calibri" w:hAnsi="Times New Roman" w:cs="Times New Roman"/>
                <w:b/>
                <w:sz w:val="18"/>
                <w:szCs w:val="18"/>
              </w:rPr>
              <w:t xml:space="preserve"> в заявке</w:t>
            </w:r>
          </w:p>
        </w:tc>
        <w:tc>
          <w:tcPr>
            <w:tcW w:w="213" w:type="pct"/>
            <w:vMerge w:val="restart"/>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шт</w:t>
            </w:r>
          </w:p>
        </w:tc>
        <w:tc>
          <w:tcPr>
            <w:tcW w:w="227" w:type="pct"/>
            <w:vMerge w:val="restart"/>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30</w:t>
            </w:r>
          </w:p>
        </w:tc>
        <w:tc>
          <w:tcPr>
            <w:tcW w:w="481" w:type="pct"/>
            <w:vMerge w:val="restart"/>
          </w:tcPr>
          <w:p w:rsidR="002B140E" w:rsidRPr="001D0198" w:rsidRDefault="002B140E" w:rsidP="00A373AD">
            <w:pPr>
              <w:spacing w:after="0" w:line="240" w:lineRule="auto"/>
              <w:jc w:val="center"/>
              <w:rPr>
                <w:rFonts w:ascii="Times New Roman" w:eastAsia="Calibri" w:hAnsi="Times New Roman" w:cs="Times New Roman"/>
                <w:b/>
                <w:sz w:val="18"/>
                <w:szCs w:val="18"/>
              </w:rPr>
            </w:pPr>
            <w:r w:rsidRPr="001D0198">
              <w:rPr>
                <w:rFonts w:ascii="Times New Roman" w:eastAsia="Calibri" w:hAnsi="Times New Roman" w:cs="Times New Roman"/>
                <w:b/>
                <w:sz w:val="18"/>
                <w:szCs w:val="18"/>
              </w:rPr>
              <w:t>32.50.50.190</w:t>
            </w:r>
          </w:p>
        </w:tc>
        <w:tc>
          <w:tcPr>
            <w:tcW w:w="385" w:type="pct"/>
            <w:vMerge w:val="restart"/>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246" w:type="pct"/>
            <w:vMerge w:val="restart"/>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65" w:type="pct"/>
            <w:vMerge w:val="restart"/>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17" w:type="pct"/>
            <w:vMerge w:val="restart"/>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r>
      <w:tr w:rsidR="002B140E" w:rsidRPr="001D0198" w:rsidTr="00763F3D">
        <w:tc>
          <w:tcPr>
            <w:tcW w:w="129"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p>
        </w:tc>
        <w:tc>
          <w:tcPr>
            <w:tcW w:w="603" w:type="pct"/>
            <w:vMerge/>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p>
        </w:tc>
        <w:tc>
          <w:tcPr>
            <w:tcW w:w="469" w:type="pct"/>
            <w:shd w:val="clear" w:color="FFFFFF" w:fill="auto"/>
          </w:tcPr>
          <w:p w:rsidR="002B140E" w:rsidRPr="001D0198" w:rsidRDefault="002B140E" w:rsidP="00763F3D">
            <w:pPr>
              <w:tabs>
                <w:tab w:val="left" w:pos="1236"/>
              </w:tabs>
              <w:spacing w:after="0" w:line="240" w:lineRule="auto"/>
              <w:jc w:val="both"/>
              <w:rPr>
                <w:rFonts w:ascii="Times New Roman" w:eastAsia="Calibri" w:hAnsi="Times New Roman" w:cs="Times New Roman"/>
                <w:sz w:val="18"/>
                <w:szCs w:val="18"/>
              </w:rPr>
            </w:pPr>
            <w:r w:rsidRPr="001D0198">
              <w:rPr>
                <w:rFonts w:ascii="Times New Roman" w:eastAsia="Calibri" w:hAnsi="Times New Roman" w:cs="Times New Roman"/>
                <w:sz w:val="18"/>
                <w:szCs w:val="18"/>
              </w:rPr>
              <w:t>Назначение</w:t>
            </w:r>
          </w:p>
        </w:tc>
        <w:tc>
          <w:tcPr>
            <w:tcW w:w="814" w:type="pct"/>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r>
              <w:rPr>
                <w:rFonts w:ascii="Times New Roman" w:eastAsia="Times New Roman" w:hAnsi="Times New Roman" w:cs="Times New Roman"/>
                <w:sz w:val="18"/>
                <w:szCs w:val="18"/>
                <w:lang w:eastAsia="ru-RU"/>
              </w:rPr>
              <w:t>с</w:t>
            </w:r>
            <w:r w:rsidRPr="001D0198">
              <w:rPr>
                <w:rFonts w:ascii="Times New Roman" w:eastAsia="Times New Roman" w:hAnsi="Times New Roman" w:cs="Times New Roman"/>
                <w:sz w:val="18"/>
                <w:szCs w:val="18"/>
                <w:lang w:eastAsia="ru-RU"/>
              </w:rPr>
              <w:t>терильное изделие</w:t>
            </w:r>
            <w:r w:rsidRPr="001D0198">
              <w:rPr>
                <w:rFonts w:ascii="Times New Roman" w:eastAsiaTheme="minorEastAsia" w:hAnsi="Times New Roman" w:cs="Times New Roman"/>
                <w:sz w:val="18"/>
                <w:szCs w:val="18"/>
                <w:lang w:eastAsia="ru-RU"/>
              </w:rPr>
              <w:t xml:space="preserve">, предназначенное для временной долгосрочной маркировки тканей молочной железы и лимфатических узлов путем имплантации, </w:t>
            </w:r>
            <w:r w:rsidRPr="001D0198">
              <w:rPr>
                <w:rFonts w:ascii="Times New Roman" w:eastAsia="Times New Roman" w:hAnsi="Times New Roman" w:cs="Times New Roman"/>
                <w:sz w:val="18"/>
                <w:szCs w:val="18"/>
                <w:lang w:eastAsia="ru-RU"/>
              </w:rPr>
              <w:t>являющееся идентификационной меткой,</w:t>
            </w:r>
            <w:r w:rsidRPr="001D0198">
              <w:rPr>
                <w:rFonts w:ascii="Times New Roman" w:eastAsiaTheme="minorEastAsia" w:hAnsi="Times New Roman" w:cs="Times New Roman"/>
                <w:sz w:val="18"/>
                <w:szCs w:val="18"/>
                <w:lang w:eastAsia="ru-RU"/>
              </w:rPr>
              <w:t xml:space="preserve"> совместимой с системой визуализации для ядерной медицины (</w:t>
            </w:r>
            <w:r w:rsidRPr="001D0198">
              <w:rPr>
                <w:rFonts w:ascii="Times New Roman" w:eastAsia="Times New Roman" w:hAnsi="Times New Roman" w:cs="Times New Roman"/>
                <w:sz w:val="18"/>
                <w:szCs w:val="18"/>
                <w:lang w:eastAsia="ru-RU"/>
              </w:rPr>
              <w:t>ОФЭКТ или интраоперационным гамма-детектором</w:t>
            </w:r>
            <w:r>
              <w:rPr>
                <w:rFonts w:ascii="Times New Roman" w:eastAsia="Times New Roman" w:hAnsi="Times New Roman" w:cs="Times New Roman"/>
                <w:sz w:val="18"/>
                <w:szCs w:val="18"/>
                <w:lang w:eastAsia="ru-RU"/>
              </w:rPr>
              <w:t>).</w:t>
            </w:r>
          </w:p>
        </w:tc>
        <w:tc>
          <w:tcPr>
            <w:tcW w:w="211"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540" w:type="pct"/>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r w:rsidRPr="001D0198">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227"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481" w:type="pct"/>
            <w:vMerge/>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246"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65"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17"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r>
      <w:tr w:rsidR="002B140E" w:rsidRPr="001D0198" w:rsidTr="00763F3D">
        <w:tc>
          <w:tcPr>
            <w:tcW w:w="129"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p>
        </w:tc>
        <w:tc>
          <w:tcPr>
            <w:tcW w:w="603" w:type="pct"/>
            <w:vMerge/>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p>
        </w:tc>
        <w:tc>
          <w:tcPr>
            <w:tcW w:w="469" w:type="pct"/>
            <w:shd w:val="clear" w:color="FFFFFF" w:fill="auto"/>
          </w:tcPr>
          <w:p w:rsidR="002B140E" w:rsidRPr="001D0198" w:rsidRDefault="002B140E" w:rsidP="00763F3D">
            <w:pPr>
              <w:tabs>
                <w:tab w:val="left" w:pos="1236"/>
              </w:tabs>
              <w:spacing w:after="0" w:line="240" w:lineRule="auto"/>
              <w:rPr>
                <w:rFonts w:ascii="Times New Roman" w:eastAsia="Calibri" w:hAnsi="Times New Roman" w:cs="Times New Roman"/>
                <w:sz w:val="18"/>
                <w:szCs w:val="18"/>
              </w:rPr>
            </w:pPr>
            <w:r w:rsidRPr="00B804DD">
              <w:rPr>
                <w:rFonts w:ascii="Times New Roman" w:eastAsia="Calibri" w:hAnsi="Times New Roman" w:cs="Times New Roman"/>
                <w:sz w:val="18"/>
                <w:szCs w:val="18"/>
              </w:rPr>
              <w:t>Возможность постановки через коаксиальную иглу 18G</w:t>
            </w:r>
          </w:p>
        </w:tc>
        <w:tc>
          <w:tcPr>
            <w:tcW w:w="814"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да</w:t>
            </w:r>
          </w:p>
        </w:tc>
        <w:tc>
          <w:tcPr>
            <w:tcW w:w="211"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540" w:type="pct"/>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r w:rsidRPr="00B804DD">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227"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481" w:type="pct"/>
            <w:vMerge/>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246"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65"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17"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r>
      <w:tr w:rsidR="002B140E" w:rsidRPr="001D0198" w:rsidTr="00763F3D">
        <w:tc>
          <w:tcPr>
            <w:tcW w:w="129"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p>
        </w:tc>
        <w:tc>
          <w:tcPr>
            <w:tcW w:w="603" w:type="pct"/>
            <w:vMerge/>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p>
        </w:tc>
        <w:tc>
          <w:tcPr>
            <w:tcW w:w="469" w:type="pct"/>
            <w:shd w:val="clear" w:color="FFFFFF" w:fill="auto"/>
          </w:tcPr>
          <w:p w:rsidR="002B140E" w:rsidRPr="001D0198" w:rsidRDefault="002B140E" w:rsidP="00763F3D">
            <w:pPr>
              <w:tabs>
                <w:tab w:val="left" w:pos="1236"/>
              </w:tabs>
              <w:spacing w:after="0" w:line="240" w:lineRule="auto"/>
              <w:rPr>
                <w:rFonts w:ascii="Times New Roman" w:eastAsia="Calibri" w:hAnsi="Times New Roman" w:cs="Times New Roman"/>
                <w:sz w:val="18"/>
                <w:szCs w:val="18"/>
              </w:rPr>
            </w:pPr>
            <w:r w:rsidRPr="00B804DD">
              <w:rPr>
                <w:rFonts w:ascii="Times New Roman" w:eastAsia="Calibri" w:hAnsi="Times New Roman" w:cs="Times New Roman"/>
                <w:sz w:val="18"/>
                <w:szCs w:val="18"/>
              </w:rPr>
              <w:t>Материал маркера</w:t>
            </w:r>
          </w:p>
        </w:tc>
        <w:tc>
          <w:tcPr>
            <w:tcW w:w="814"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r w:rsidRPr="00B804DD">
              <w:rPr>
                <w:rFonts w:ascii="Times New Roman" w:eastAsia="Calibri" w:hAnsi="Times New Roman" w:cs="Times New Roman"/>
                <w:sz w:val="18"/>
                <w:szCs w:val="18"/>
              </w:rPr>
              <w:t>титановый сплав</w:t>
            </w:r>
          </w:p>
        </w:tc>
        <w:tc>
          <w:tcPr>
            <w:tcW w:w="211"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540" w:type="pct"/>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r w:rsidRPr="00B804DD">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227"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481" w:type="pct"/>
            <w:vMerge/>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246"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65"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17"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r>
      <w:tr w:rsidR="002B140E" w:rsidRPr="001D0198" w:rsidTr="00763F3D">
        <w:tc>
          <w:tcPr>
            <w:tcW w:w="129"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p>
        </w:tc>
        <w:tc>
          <w:tcPr>
            <w:tcW w:w="603" w:type="pct"/>
            <w:vMerge/>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p>
        </w:tc>
        <w:tc>
          <w:tcPr>
            <w:tcW w:w="469" w:type="pct"/>
            <w:shd w:val="clear" w:color="FFFFFF" w:fill="auto"/>
          </w:tcPr>
          <w:p w:rsidR="002B140E" w:rsidRPr="00B804DD" w:rsidRDefault="002B140E" w:rsidP="00763F3D">
            <w:pPr>
              <w:tabs>
                <w:tab w:val="left" w:pos="1236"/>
              </w:tabs>
              <w:spacing w:after="0" w:line="240" w:lineRule="auto"/>
              <w:rPr>
                <w:rFonts w:ascii="Times New Roman" w:eastAsia="Calibri" w:hAnsi="Times New Roman" w:cs="Times New Roman"/>
                <w:sz w:val="18"/>
                <w:szCs w:val="18"/>
              </w:rPr>
            </w:pPr>
            <w:r w:rsidRPr="00B804DD">
              <w:rPr>
                <w:rFonts w:ascii="Times New Roman" w:eastAsia="Calibri" w:hAnsi="Times New Roman" w:cs="Times New Roman"/>
                <w:sz w:val="18"/>
                <w:szCs w:val="18"/>
              </w:rPr>
              <w:t>Активность маркера</w:t>
            </w:r>
          </w:p>
        </w:tc>
        <w:tc>
          <w:tcPr>
            <w:tcW w:w="814" w:type="pct"/>
            <w:shd w:val="clear" w:color="FFFFFF" w:fill="auto"/>
          </w:tcPr>
          <w:p w:rsidR="002B140E" w:rsidRDefault="002B140E" w:rsidP="00763F3D">
            <w:pPr>
              <w:spacing w:after="0" w:line="240" w:lineRule="auto"/>
              <w:jc w:val="center"/>
              <w:rPr>
                <w:rFonts w:ascii="Times New Roman" w:eastAsia="Calibri" w:hAnsi="Times New Roman" w:cs="Times New Roman"/>
                <w:sz w:val="18"/>
                <w:szCs w:val="18"/>
              </w:rPr>
            </w:pPr>
            <w:r w:rsidRPr="00B804DD">
              <w:rPr>
                <w:rFonts w:ascii="Times New Roman" w:eastAsia="Calibri" w:hAnsi="Times New Roman" w:cs="Times New Roman"/>
                <w:sz w:val="18"/>
                <w:szCs w:val="18"/>
              </w:rPr>
              <w:t>в диапазоне от 7,4 до 29,6 МБк</w:t>
            </w:r>
          </w:p>
          <w:p w:rsidR="002B140E" w:rsidRPr="001D0198" w:rsidRDefault="002B140E"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(определяется заявкой Заказчика)</w:t>
            </w:r>
          </w:p>
        </w:tc>
        <w:tc>
          <w:tcPr>
            <w:tcW w:w="211"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540" w:type="pct"/>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r w:rsidRPr="00B804DD">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227"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481" w:type="pct"/>
            <w:vMerge/>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246"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65"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17"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r>
      <w:tr w:rsidR="002B140E" w:rsidRPr="001D0198" w:rsidTr="00763F3D">
        <w:tc>
          <w:tcPr>
            <w:tcW w:w="129"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p>
        </w:tc>
        <w:tc>
          <w:tcPr>
            <w:tcW w:w="603" w:type="pct"/>
            <w:vMerge/>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p>
        </w:tc>
        <w:tc>
          <w:tcPr>
            <w:tcW w:w="469" w:type="pct"/>
            <w:shd w:val="clear" w:color="FFFFFF" w:fill="auto"/>
          </w:tcPr>
          <w:p w:rsidR="002B140E" w:rsidRPr="00B804DD" w:rsidRDefault="002B140E" w:rsidP="00763F3D">
            <w:pPr>
              <w:tabs>
                <w:tab w:val="left" w:pos="1236"/>
              </w:tabs>
              <w:spacing w:after="0" w:line="240" w:lineRule="auto"/>
              <w:rPr>
                <w:rFonts w:ascii="Times New Roman" w:eastAsia="Calibri" w:hAnsi="Times New Roman" w:cs="Times New Roman"/>
                <w:sz w:val="18"/>
                <w:szCs w:val="18"/>
              </w:rPr>
            </w:pPr>
            <w:r w:rsidRPr="00B804DD">
              <w:rPr>
                <w:rFonts w:ascii="Times New Roman" w:eastAsia="Calibri" w:hAnsi="Times New Roman" w:cs="Times New Roman"/>
                <w:sz w:val="18"/>
                <w:szCs w:val="18"/>
              </w:rPr>
              <w:t>Обнаружение маркера</w:t>
            </w:r>
          </w:p>
        </w:tc>
        <w:tc>
          <w:tcPr>
            <w:tcW w:w="814"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r w:rsidRPr="00B804DD">
              <w:rPr>
                <w:rFonts w:ascii="Times New Roman" w:eastAsia="Calibri" w:hAnsi="Times New Roman" w:cs="Times New Roman"/>
                <w:sz w:val="18"/>
                <w:szCs w:val="18"/>
              </w:rPr>
              <w:t>осуществляется путем детектирования ɣ-излучения радионуклида йод-125</w:t>
            </w:r>
          </w:p>
        </w:tc>
        <w:tc>
          <w:tcPr>
            <w:tcW w:w="211"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540" w:type="pct"/>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r w:rsidRPr="00B804DD">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227"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481" w:type="pct"/>
            <w:vMerge/>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246"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65"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17"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r>
      <w:tr w:rsidR="002B140E" w:rsidRPr="001D0198" w:rsidTr="00763F3D">
        <w:tc>
          <w:tcPr>
            <w:tcW w:w="129"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b/>
                <w:sz w:val="18"/>
                <w:szCs w:val="18"/>
              </w:rPr>
            </w:pPr>
          </w:p>
        </w:tc>
        <w:tc>
          <w:tcPr>
            <w:tcW w:w="603" w:type="pct"/>
            <w:vMerge/>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p>
        </w:tc>
        <w:tc>
          <w:tcPr>
            <w:tcW w:w="469" w:type="pct"/>
            <w:shd w:val="clear" w:color="FFFFFF" w:fill="auto"/>
          </w:tcPr>
          <w:p w:rsidR="002B140E" w:rsidRPr="00B804DD" w:rsidRDefault="002B140E" w:rsidP="00763F3D">
            <w:pPr>
              <w:tabs>
                <w:tab w:val="left" w:pos="1236"/>
              </w:tabs>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Групповая упаковка </w:t>
            </w:r>
          </w:p>
        </w:tc>
        <w:tc>
          <w:tcPr>
            <w:tcW w:w="814" w:type="pct"/>
            <w:shd w:val="clear" w:color="FFFFFF" w:fill="auto"/>
          </w:tcPr>
          <w:p w:rsidR="002B140E" w:rsidRDefault="002B140E" w:rsidP="00763F3D">
            <w:pPr>
              <w:spacing w:after="0" w:line="240" w:lineRule="auto"/>
              <w:jc w:val="center"/>
              <w:rPr>
                <w:rFonts w:ascii="Times New Roman" w:eastAsia="Times New Roman" w:hAnsi="Times New Roman" w:cs="Times New Roman"/>
                <w:sz w:val="18"/>
                <w:szCs w:val="18"/>
              </w:rPr>
            </w:pPr>
            <w:r w:rsidRPr="000A0AB1">
              <w:rPr>
                <w:rFonts w:ascii="Times New Roman" w:eastAsia="Times New Roman" w:hAnsi="Times New Roman" w:cs="Times New Roman"/>
                <w:sz w:val="18"/>
                <w:szCs w:val="18"/>
              </w:rPr>
              <w:t xml:space="preserve">Стерильная упаковка. </w:t>
            </w:r>
          </w:p>
          <w:p w:rsidR="002B140E" w:rsidRPr="000A0AB1" w:rsidRDefault="002B140E" w:rsidP="00763F3D">
            <w:pPr>
              <w:spacing w:after="0" w:line="240" w:lineRule="auto"/>
              <w:jc w:val="center"/>
              <w:rPr>
                <w:rFonts w:ascii="Times New Roman" w:eastAsia="Calibri" w:hAnsi="Times New Roman" w:cs="Times New Roman"/>
                <w:sz w:val="18"/>
                <w:szCs w:val="18"/>
              </w:rPr>
            </w:pPr>
            <w:r w:rsidRPr="000A0AB1">
              <w:rPr>
                <w:rFonts w:ascii="Times New Roman" w:eastAsia="Times New Roman" w:hAnsi="Times New Roman" w:cs="Times New Roman"/>
                <w:sz w:val="18"/>
                <w:szCs w:val="18"/>
              </w:rPr>
              <w:t>Маркер поставляется в составе комплекта из 10 штук.</w:t>
            </w:r>
          </w:p>
        </w:tc>
        <w:tc>
          <w:tcPr>
            <w:tcW w:w="211" w:type="pct"/>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540" w:type="pct"/>
            <w:shd w:val="clear" w:color="FFFFFF" w:fill="auto"/>
          </w:tcPr>
          <w:p w:rsidR="002B140E" w:rsidRPr="001D0198" w:rsidRDefault="002B140E" w:rsidP="00763F3D">
            <w:pPr>
              <w:spacing w:after="0" w:line="240" w:lineRule="auto"/>
              <w:rPr>
                <w:rFonts w:ascii="Times New Roman" w:eastAsia="Calibri" w:hAnsi="Times New Roman" w:cs="Times New Roman"/>
                <w:sz w:val="18"/>
                <w:szCs w:val="18"/>
              </w:rPr>
            </w:pPr>
            <w:r w:rsidRPr="00B804DD">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227" w:type="pct"/>
            <w:vMerge/>
            <w:shd w:val="clear" w:color="FFFFFF" w:fill="auto"/>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481" w:type="pct"/>
            <w:vMerge/>
          </w:tcPr>
          <w:p w:rsidR="002B140E" w:rsidRPr="001D0198" w:rsidRDefault="002B140E" w:rsidP="00763F3D">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246"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65"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c>
          <w:tcPr>
            <w:tcW w:w="317" w:type="pct"/>
            <w:vMerge/>
            <w:shd w:val="clear" w:color="auto" w:fill="FFFF99"/>
          </w:tcPr>
          <w:p w:rsidR="002B140E" w:rsidRPr="001D0198" w:rsidRDefault="002B140E" w:rsidP="00763F3D">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2B140E">
      <w:headerReference w:type="first" r:id="rId16"/>
      <w:footerReference w:type="first" r:id="rId17"/>
      <w:pgSz w:w="16838" w:h="11906" w:orient="landscape"/>
      <w:pgMar w:top="85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340" w:rsidRDefault="00033340">
      <w:pPr>
        <w:spacing w:after="0" w:line="240" w:lineRule="auto"/>
      </w:pPr>
      <w:r>
        <w:separator/>
      </w:r>
    </w:p>
  </w:endnote>
  <w:endnote w:type="continuationSeparator" w:id="0">
    <w:p w:rsidR="00033340" w:rsidRDefault="0003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C0104" w:rsidRDefault="009C010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C010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C010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C010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C0104">
    <w:pPr>
      <w:pStyle w:val="ab"/>
      <w:jc w:val="right"/>
    </w:pPr>
    <w:sdt>
      <w:sdtPr>
        <w:id w:val="-1590312718"/>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340" w:rsidRDefault="00033340">
      <w:pPr>
        <w:spacing w:after="0" w:line="240" w:lineRule="auto"/>
      </w:pPr>
      <w:r>
        <w:separator/>
      </w:r>
    </w:p>
  </w:footnote>
  <w:footnote w:type="continuationSeparator" w:id="0">
    <w:p w:rsidR="00033340" w:rsidRDefault="0003334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C0104" w:rsidRDefault="009C010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C0104" w:rsidRDefault="009C010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C0104" w:rsidRDefault="009C010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33340"/>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B140E"/>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E2EA6"/>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C0104"/>
    <w:rsid w:val="009D1527"/>
    <w:rsid w:val="009D408E"/>
    <w:rsid w:val="009E0E6A"/>
    <w:rsid w:val="009E14D4"/>
    <w:rsid w:val="009E41C0"/>
    <w:rsid w:val="009F0B69"/>
    <w:rsid w:val="009F1E95"/>
    <w:rsid w:val="009F28DD"/>
    <w:rsid w:val="009F387B"/>
    <w:rsid w:val="00A00C6D"/>
    <w:rsid w:val="00A072C2"/>
    <w:rsid w:val="00A176EE"/>
    <w:rsid w:val="00A20761"/>
    <w:rsid w:val="00A373AD"/>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2207"/>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BDAAE-7970-48BB-8124-D642E200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2026-01-13T12:14:00Z</dcterms:created>
  <dcterms:modified xsi:type="dcterms:W3CDTF">2026-01-13T12:14:00Z</dcterms:modified>
</cp:coreProperties>
</file>