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13.03.2026 № 05-07/446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20.03.2026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5521E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ЭТАМЗИЛАТ</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t>
                <w:br/>
                Заказчик вправе направлять заявки на поставку товара не позднее ____________.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A7D7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A7D7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22" w:type="dxa"/>
        <w:tblInd w:w="113" w:type="dxa"/>
        <w:tblLook w:val="04A0" w:firstRow="1" w:lastRow="0" w:firstColumn="1" w:lastColumn="0" w:noHBand="0" w:noVBand="1"/>
      </w:tblPr>
      <w:tblGrid>
        <w:gridCol w:w="376"/>
        <w:gridCol w:w="1241"/>
        <w:gridCol w:w="1547"/>
        <w:gridCol w:w="1129"/>
        <w:gridCol w:w="998"/>
        <w:gridCol w:w="1054"/>
        <w:gridCol w:w="1497"/>
        <w:gridCol w:w="1432"/>
        <w:gridCol w:w="1330"/>
        <w:gridCol w:w="1317"/>
        <w:gridCol w:w="1336"/>
        <w:gridCol w:w="906"/>
        <w:gridCol w:w="959"/>
        <w:gridCol w:w="714"/>
      </w:tblGrid>
      <w:tr w:rsidR="002A7D71" w:rsidRPr="002A7D71" w:rsidTr="002A7D71">
        <w:trPr>
          <w:trHeight w:val="2863"/>
        </w:trPr>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w:t>
            </w:r>
          </w:p>
        </w:tc>
        <w:tc>
          <w:tcPr>
            <w:tcW w:w="1244" w:type="dxa"/>
            <w:tcBorders>
              <w:top w:val="single" w:sz="4" w:space="0" w:color="000000"/>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МНН или состав</w:t>
            </w:r>
          </w:p>
        </w:tc>
        <w:tc>
          <w:tcPr>
            <w:tcW w:w="1565" w:type="dxa"/>
            <w:tcBorders>
              <w:top w:val="single" w:sz="4" w:space="0" w:color="000000"/>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Лекарственная форма, дозировка</w:t>
            </w:r>
          </w:p>
        </w:tc>
        <w:tc>
          <w:tcPr>
            <w:tcW w:w="1128" w:type="dxa"/>
            <w:tcBorders>
              <w:top w:val="single" w:sz="4" w:space="0" w:color="000000"/>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Код по справочнику МНН</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Единица Измерения</w:t>
            </w:r>
          </w:p>
        </w:tc>
        <w:tc>
          <w:tcPr>
            <w:tcW w:w="1049" w:type="dxa"/>
            <w:tcBorders>
              <w:top w:val="single" w:sz="4" w:space="0" w:color="000000"/>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Количество единиц измерения*</w:t>
            </w:r>
          </w:p>
        </w:tc>
        <w:tc>
          <w:tcPr>
            <w:tcW w:w="1513" w:type="dxa"/>
            <w:tcBorders>
              <w:top w:val="single" w:sz="4" w:space="0" w:color="000000"/>
              <w:left w:val="nil"/>
              <w:bottom w:val="single" w:sz="4" w:space="0" w:color="000000"/>
              <w:right w:val="single" w:sz="4" w:space="0" w:color="000000"/>
            </w:tcBorders>
            <w:shd w:val="clear" w:color="000000" w:fill="FFFFFF"/>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Единица измерения по ЕСКЛП (Потребительская единица)</w:t>
            </w:r>
          </w:p>
        </w:tc>
        <w:tc>
          <w:tcPr>
            <w:tcW w:w="1445" w:type="dxa"/>
            <w:tcBorders>
              <w:top w:val="single" w:sz="4" w:space="0" w:color="000000"/>
              <w:left w:val="nil"/>
              <w:bottom w:val="single" w:sz="4" w:space="0" w:color="000000"/>
              <w:right w:val="single" w:sz="4" w:space="0" w:color="000000"/>
            </w:tcBorders>
            <w:shd w:val="clear" w:color="000000" w:fill="FFFFFF"/>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Количество потребительских единиц</w:t>
            </w:r>
          </w:p>
        </w:tc>
        <w:tc>
          <w:tcPr>
            <w:tcW w:w="1337" w:type="dxa"/>
            <w:tcBorders>
              <w:top w:val="single" w:sz="4" w:space="0" w:color="000000"/>
              <w:left w:val="nil"/>
              <w:bottom w:val="single" w:sz="4" w:space="0" w:color="000000"/>
              <w:right w:val="single" w:sz="4" w:space="0" w:color="000000"/>
            </w:tcBorders>
            <w:shd w:val="clear" w:color="000000" w:fill="FFFF00"/>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24" w:type="dxa"/>
            <w:tcBorders>
              <w:top w:val="single" w:sz="4" w:space="0" w:color="000000"/>
              <w:left w:val="nil"/>
              <w:bottom w:val="single" w:sz="4" w:space="0" w:color="000000"/>
              <w:right w:val="single" w:sz="4" w:space="0" w:color="000000"/>
            </w:tcBorders>
            <w:shd w:val="clear" w:color="000000" w:fill="FFFF00"/>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 и дата РУ/разрешения</w:t>
            </w:r>
          </w:p>
        </w:tc>
        <w:tc>
          <w:tcPr>
            <w:tcW w:w="1345" w:type="dxa"/>
            <w:tcBorders>
              <w:top w:val="single" w:sz="4" w:space="0" w:color="000000"/>
              <w:left w:val="nil"/>
              <w:bottom w:val="single" w:sz="4" w:space="0" w:color="000000"/>
              <w:right w:val="single" w:sz="4" w:space="0" w:color="000000"/>
            </w:tcBorders>
            <w:shd w:val="clear" w:color="000000" w:fill="FFFF00"/>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Наименование страны происхождения</w:t>
            </w:r>
          </w:p>
        </w:tc>
        <w:tc>
          <w:tcPr>
            <w:tcW w:w="894" w:type="dxa"/>
            <w:tcBorders>
              <w:top w:val="single" w:sz="4" w:space="0" w:color="000000"/>
              <w:left w:val="nil"/>
              <w:bottom w:val="single" w:sz="4" w:space="0" w:color="000000"/>
              <w:right w:val="single" w:sz="4" w:space="0" w:color="000000"/>
            </w:tcBorders>
            <w:shd w:val="clear" w:color="000000" w:fill="FFFF00"/>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Цена за ед. без НДС и с опт. Надбавки</w:t>
            </w:r>
          </w:p>
        </w:tc>
        <w:tc>
          <w:tcPr>
            <w:tcW w:w="949" w:type="dxa"/>
            <w:tcBorders>
              <w:top w:val="single" w:sz="4" w:space="0" w:color="000000"/>
              <w:left w:val="nil"/>
              <w:bottom w:val="single" w:sz="4" w:space="0" w:color="000000"/>
              <w:right w:val="single" w:sz="4" w:space="0" w:color="000000"/>
            </w:tcBorders>
            <w:shd w:val="clear" w:color="000000" w:fill="FFFF00"/>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Цена за ед. с НДС и с опт. надбавкой</w:t>
            </w:r>
          </w:p>
        </w:tc>
        <w:tc>
          <w:tcPr>
            <w:tcW w:w="693" w:type="dxa"/>
            <w:tcBorders>
              <w:top w:val="single" w:sz="4" w:space="0" w:color="000000"/>
              <w:left w:val="nil"/>
              <w:bottom w:val="single" w:sz="4" w:space="0" w:color="000000"/>
              <w:right w:val="single" w:sz="4" w:space="0" w:color="000000"/>
            </w:tcBorders>
            <w:shd w:val="clear" w:color="000000" w:fill="FFFF00"/>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Размер НДС, (%)</w:t>
            </w:r>
          </w:p>
        </w:tc>
      </w:tr>
      <w:tr w:rsidR="002A7D71" w:rsidRPr="002A7D71" w:rsidTr="002A7D71">
        <w:trPr>
          <w:trHeight w:val="3162"/>
        </w:trPr>
        <w:tc>
          <w:tcPr>
            <w:tcW w:w="339" w:type="dxa"/>
            <w:tcBorders>
              <w:top w:val="nil"/>
              <w:left w:val="single" w:sz="4" w:space="0" w:color="000000"/>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1</w:t>
            </w:r>
          </w:p>
        </w:tc>
        <w:tc>
          <w:tcPr>
            <w:tcW w:w="1244"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ЭТАМЗИЛАТ</w:t>
            </w:r>
          </w:p>
        </w:tc>
        <w:tc>
          <w:tcPr>
            <w:tcW w:w="1565"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both"/>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Лекарственная форма: раствор для внутривенного и внутримышечного введения</w:t>
            </w:r>
            <w:r w:rsidRPr="002A7D71">
              <w:rPr>
                <w:rFonts w:ascii="Times New Roman" w:eastAsia="Times New Roman" w:hAnsi="Times New Roman" w:cs="Times New Roman"/>
                <w:lang w:eastAsia="ru-RU"/>
              </w:rPr>
              <w:br/>
              <w:t>Дозировка: 125 мг/мл</w:t>
            </w:r>
          </w:p>
        </w:tc>
        <w:tc>
          <w:tcPr>
            <w:tcW w:w="1128"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sz w:val="18"/>
                <w:szCs w:val="18"/>
                <w:lang w:eastAsia="ru-RU"/>
              </w:rPr>
            </w:pPr>
            <w:r w:rsidRPr="002A7D71">
              <w:rPr>
                <w:rFonts w:ascii="Times New Roman" w:eastAsia="Times New Roman" w:hAnsi="Times New Roman" w:cs="Times New Roman"/>
                <w:sz w:val="18"/>
                <w:szCs w:val="18"/>
                <w:lang w:eastAsia="ru-RU"/>
              </w:rPr>
              <w:t>21.20.10.132-000001-1-00070-0000000000000</w:t>
            </w:r>
          </w:p>
        </w:tc>
        <w:tc>
          <w:tcPr>
            <w:tcW w:w="990"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w:t>
            </w:r>
          </w:p>
        </w:tc>
        <w:tc>
          <w:tcPr>
            <w:tcW w:w="1049"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w:t>
            </w:r>
          </w:p>
        </w:tc>
        <w:tc>
          <w:tcPr>
            <w:tcW w:w="1513"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см3;мл</w:t>
            </w:r>
          </w:p>
        </w:tc>
        <w:tc>
          <w:tcPr>
            <w:tcW w:w="1445"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1 000</w:t>
            </w:r>
          </w:p>
        </w:tc>
        <w:tc>
          <w:tcPr>
            <w:tcW w:w="1337" w:type="dxa"/>
            <w:tcBorders>
              <w:top w:val="nil"/>
              <w:left w:val="nil"/>
              <w:bottom w:val="single" w:sz="4" w:space="0" w:color="000000"/>
              <w:right w:val="single" w:sz="4" w:space="0" w:color="000000"/>
            </w:tcBorders>
            <w:shd w:val="clear" w:color="auto" w:fill="auto"/>
            <w:noWrap/>
            <w:vAlign w:val="bottom"/>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 </w:t>
            </w:r>
          </w:p>
        </w:tc>
        <w:tc>
          <w:tcPr>
            <w:tcW w:w="1324" w:type="dxa"/>
            <w:tcBorders>
              <w:top w:val="nil"/>
              <w:left w:val="nil"/>
              <w:bottom w:val="single" w:sz="4" w:space="0" w:color="000000"/>
              <w:right w:val="single" w:sz="4" w:space="0" w:color="000000"/>
            </w:tcBorders>
            <w:shd w:val="clear" w:color="auto" w:fill="auto"/>
            <w:noWrap/>
            <w:vAlign w:val="bottom"/>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 </w:t>
            </w:r>
          </w:p>
        </w:tc>
        <w:tc>
          <w:tcPr>
            <w:tcW w:w="1345"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 </w:t>
            </w:r>
          </w:p>
        </w:tc>
        <w:tc>
          <w:tcPr>
            <w:tcW w:w="894"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center"/>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 </w:t>
            </w:r>
          </w:p>
        </w:tc>
        <w:tc>
          <w:tcPr>
            <w:tcW w:w="949"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right"/>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 </w:t>
            </w:r>
          </w:p>
        </w:tc>
        <w:tc>
          <w:tcPr>
            <w:tcW w:w="693" w:type="dxa"/>
            <w:tcBorders>
              <w:top w:val="nil"/>
              <w:left w:val="nil"/>
              <w:bottom w:val="single" w:sz="4" w:space="0" w:color="000000"/>
              <w:right w:val="single" w:sz="4" w:space="0" w:color="000000"/>
            </w:tcBorders>
            <w:shd w:val="clear" w:color="auto" w:fill="auto"/>
            <w:vAlign w:val="center"/>
            <w:hideMark/>
          </w:tcPr>
          <w:p w:rsidR="002A7D71" w:rsidRPr="002A7D71" w:rsidRDefault="002A7D71" w:rsidP="002A7D71">
            <w:pPr>
              <w:spacing w:after="0" w:line="240" w:lineRule="auto"/>
              <w:jc w:val="right"/>
              <w:rPr>
                <w:rFonts w:ascii="Times New Roman" w:eastAsia="Times New Roman" w:hAnsi="Times New Roman" w:cs="Times New Roman"/>
                <w:lang w:eastAsia="ru-RU"/>
              </w:rPr>
            </w:pPr>
            <w:r w:rsidRPr="002A7D71">
              <w:rPr>
                <w:rFonts w:ascii="Times New Roman" w:eastAsia="Times New Roman" w:hAnsi="Times New Roman" w:cs="Times New Roman"/>
                <w:lang w:eastAsia="ru-RU"/>
              </w:rPr>
              <w:t> </w:t>
            </w:r>
          </w:p>
        </w:tc>
      </w:tr>
      <w:tr w:rsidR="002A7D71" w:rsidRPr="002A7D71" w:rsidTr="002A7D71">
        <w:trPr>
          <w:trHeight w:val="223"/>
        </w:trPr>
        <w:tc>
          <w:tcPr>
            <w:tcW w:w="339"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jc w:val="right"/>
              <w:rPr>
                <w:rFonts w:ascii="Times New Roman" w:eastAsia="Times New Roman" w:hAnsi="Times New Roman" w:cs="Times New Roman"/>
                <w:lang w:eastAsia="ru-RU"/>
              </w:rPr>
            </w:pPr>
          </w:p>
        </w:tc>
        <w:tc>
          <w:tcPr>
            <w:tcW w:w="1244"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565"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049"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445"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337"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324"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949"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693"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r>
      <w:tr w:rsidR="002A7D71" w:rsidRPr="002A7D71" w:rsidTr="002A7D71">
        <w:trPr>
          <w:trHeight w:val="2012"/>
        </w:trPr>
        <w:tc>
          <w:tcPr>
            <w:tcW w:w="15822" w:type="dxa"/>
            <w:gridSpan w:val="14"/>
            <w:tcBorders>
              <w:top w:val="nil"/>
              <w:left w:val="nil"/>
              <w:bottom w:val="nil"/>
              <w:right w:val="nil"/>
            </w:tcBorders>
            <w:shd w:val="clear" w:color="auto" w:fill="auto"/>
            <w:vAlign w:val="bottom"/>
            <w:hideMark/>
          </w:tcPr>
          <w:p w:rsidR="002A7D71" w:rsidRPr="002A7D71" w:rsidRDefault="002A7D71" w:rsidP="002A7D71">
            <w:pPr>
              <w:spacing w:after="0" w:line="240" w:lineRule="auto"/>
              <w:jc w:val="both"/>
              <w:rPr>
                <w:rFonts w:ascii="Times New Roman" w:eastAsia="Times New Roman" w:hAnsi="Times New Roman" w:cs="Times New Roman"/>
                <w:sz w:val="24"/>
                <w:szCs w:val="24"/>
                <w:lang w:eastAsia="ru-RU"/>
              </w:rPr>
            </w:pPr>
            <w:r w:rsidRPr="002A7D71">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A7D71" w:rsidRPr="002A7D71" w:rsidTr="002A7D71">
        <w:trPr>
          <w:trHeight w:val="321"/>
        </w:trPr>
        <w:tc>
          <w:tcPr>
            <w:tcW w:w="339" w:type="dxa"/>
            <w:tcBorders>
              <w:top w:val="nil"/>
              <w:left w:val="nil"/>
              <w:bottom w:val="nil"/>
              <w:right w:val="nil"/>
            </w:tcBorders>
            <w:shd w:val="clear" w:color="000000" w:fill="FFFF00"/>
            <w:vAlign w:val="bottom"/>
            <w:hideMark/>
          </w:tcPr>
          <w:p w:rsidR="002A7D71" w:rsidRPr="002A7D71" w:rsidRDefault="002A7D71" w:rsidP="002A7D71">
            <w:pPr>
              <w:spacing w:after="0" w:line="240" w:lineRule="auto"/>
              <w:jc w:val="center"/>
              <w:rPr>
                <w:rFonts w:ascii="Times New Roman" w:eastAsia="Times New Roman" w:hAnsi="Times New Roman" w:cs="Times New Roman"/>
                <w:i/>
                <w:iCs/>
                <w:sz w:val="24"/>
                <w:szCs w:val="24"/>
                <w:lang w:eastAsia="ru-RU"/>
              </w:rPr>
            </w:pPr>
            <w:r w:rsidRPr="002A7D71">
              <w:rPr>
                <w:rFonts w:ascii="Times New Roman" w:eastAsia="Times New Roman" w:hAnsi="Times New Roman" w:cs="Times New Roman"/>
                <w:i/>
                <w:iCs/>
                <w:sz w:val="24"/>
                <w:szCs w:val="24"/>
                <w:lang w:eastAsia="ru-RU"/>
              </w:rPr>
              <w:t>*</w:t>
            </w:r>
          </w:p>
        </w:tc>
        <w:tc>
          <w:tcPr>
            <w:tcW w:w="8937" w:type="dxa"/>
            <w:gridSpan w:val="7"/>
            <w:tcBorders>
              <w:top w:val="nil"/>
              <w:left w:val="nil"/>
              <w:bottom w:val="nil"/>
              <w:right w:val="nil"/>
            </w:tcBorders>
            <w:shd w:val="clear" w:color="auto" w:fill="auto"/>
            <w:vAlign w:val="bottom"/>
            <w:hideMark/>
          </w:tcPr>
          <w:p w:rsidR="002A7D71" w:rsidRPr="002A7D71" w:rsidRDefault="002A7D71" w:rsidP="002A7D71">
            <w:pPr>
              <w:spacing w:after="0" w:line="240" w:lineRule="auto"/>
              <w:rPr>
                <w:rFonts w:ascii="Times New Roman" w:eastAsia="Times New Roman" w:hAnsi="Times New Roman" w:cs="Times New Roman"/>
                <w:i/>
                <w:iCs/>
                <w:sz w:val="24"/>
                <w:szCs w:val="24"/>
                <w:lang w:eastAsia="ru-RU"/>
              </w:rPr>
            </w:pPr>
            <w:r w:rsidRPr="002A7D71">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37"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i/>
                <w:iCs/>
                <w:sz w:val="24"/>
                <w:szCs w:val="24"/>
                <w:lang w:eastAsia="ru-RU"/>
              </w:rPr>
            </w:pPr>
          </w:p>
        </w:tc>
        <w:tc>
          <w:tcPr>
            <w:tcW w:w="1324"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949"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c>
          <w:tcPr>
            <w:tcW w:w="693" w:type="dxa"/>
            <w:tcBorders>
              <w:top w:val="nil"/>
              <w:left w:val="nil"/>
              <w:bottom w:val="nil"/>
              <w:right w:val="nil"/>
            </w:tcBorders>
            <w:shd w:val="clear" w:color="auto" w:fill="auto"/>
            <w:noWrap/>
            <w:vAlign w:val="bottom"/>
            <w:hideMark/>
          </w:tcPr>
          <w:p w:rsidR="002A7D71" w:rsidRPr="002A7D71" w:rsidRDefault="002A7D71" w:rsidP="002A7D71">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9B037E">
      <w:headerReference w:type="first" r:id="rId18"/>
      <w:footerReference w:type="first" r:id="rId19"/>
      <w:pgSz w:w="16838" w:h="11906" w:orient="landscape"/>
      <w:pgMar w:top="1701" w:right="538" w:bottom="1135"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177" w:rsidRDefault="00653177">
      <w:pPr>
        <w:spacing w:after="0" w:line="240" w:lineRule="auto"/>
      </w:pPr>
      <w:r>
        <w:separator/>
      </w:r>
    </w:p>
  </w:endnote>
  <w:endnote w:type="continuationSeparator" w:id="0">
    <w:p w:rsidR="00653177" w:rsidRDefault="0065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521E0" w:rsidRDefault="005521E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521E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521E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521E0">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521E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B037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521E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B037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177" w:rsidRDefault="00653177">
      <w:pPr>
        <w:spacing w:after="0" w:line="240" w:lineRule="auto"/>
      </w:pPr>
      <w:r>
        <w:separator/>
      </w:r>
    </w:p>
  </w:footnote>
  <w:footnote w:type="continuationSeparator" w:id="0">
    <w:p w:rsidR="00653177" w:rsidRDefault="0065317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521E0" w:rsidRDefault="005521E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521E0" w:rsidRDefault="005521E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521E0" w:rsidRDefault="005521E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A7D71"/>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0973"/>
    <w:rsid w:val="005015AB"/>
    <w:rsid w:val="0051016A"/>
    <w:rsid w:val="00510F2D"/>
    <w:rsid w:val="00513490"/>
    <w:rsid w:val="005223C1"/>
    <w:rsid w:val="005246FD"/>
    <w:rsid w:val="00541586"/>
    <w:rsid w:val="005521E0"/>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53177"/>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037E"/>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88228569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C9708-6101-4B28-BB84-27A52DFB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2026-03-13T13:33:00Z</dcterms:created>
  <dcterms:modified xsi:type="dcterms:W3CDTF">2026-03-13T13:33:00Z</dcterms:modified>
</cp:coreProperties>
</file>