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21.1-03/613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2094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D043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(четырнадцати) календарных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D043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обращение с радиоактивными веществами при их транспортировании.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DD043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DD0432">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158"/>
        <w:gridCol w:w="5434"/>
        <w:gridCol w:w="1087"/>
        <w:gridCol w:w="1242"/>
        <w:gridCol w:w="1553"/>
        <w:gridCol w:w="1242"/>
        <w:gridCol w:w="777"/>
        <w:gridCol w:w="1088"/>
        <w:gridCol w:w="1085"/>
      </w:tblGrid>
      <w:tr w:rsidR="00DD0432" w:rsidRPr="00A42088" w:rsidTr="00CB5E94">
        <w:trPr>
          <w:trHeight w:val="20"/>
          <w:jc w:val="center"/>
        </w:trPr>
        <w:tc>
          <w:tcPr>
            <w:tcW w:w="569" w:type="dxa"/>
            <w:vAlign w:val="center"/>
            <w:hideMark/>
          </w:tcPr>
          <w:p w:rsidR="00DD0432" w:rsidRPr="00A42088" w:rsidRDefault="00DD0432" w:rsidP="00CB5E94">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 п/п</w:t>
            </w:r>
          </w:p>
        </w:tc>
        <w:tc>
          <w:tcPr>
            <w:tcW w:w="2158" w:type="dxa"/>
            <w:vAlign w:val="center"/>
            <w:hideMark/>
          </w:tcPr>
          <w:p w:rsidR="00DD0432" w:rsidRPr="00A42088" w:rsidRDefault="00DD0432" w:rsidP="00CB5E94">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 xml:space="preserve">Наименование товара </w:t>
            </w:r>
          </w:p>
        </w:tc>
        <w:tc>
          <w:tcPr>
            <w:tcW w:w="5434" w:type="dxa"/>
            <w:vAlign w:val="center"/>
            <w:hideMark/>
          </w:tcPr>
          <w:p w:rsidR="00DD0432" w:rsidRPr="00A42088" w:rsidRDefault="00DD0432" w:rsidP="00CB5E94">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87" w:type="dxa"/>
            <w:vAlign w:val="center"/>
          </w:tcPr>
          <w:p w:rsidR="00DD0432" w:rsidRPr="00A42088" w:rsidRDefault="00DD0432" w:rsidP="00CB5E94">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Кол-во</w:t>
            </w:r>
          </w:p>
        </w:tc>
        <w:tc>
          <w:tcPr>
            <w:tcW w:w="1242" w:type="dxa"/>
            <w:vAlign w:val="center"/>
          </w:tcPr>
          <w:p w:rsidR="00DD0432" w:rsidRPr="00A42088" w:rsidRDefault="00DD0432" w:rsidP="00CB5E94">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Ед. изм.</w:t>
            </w:r>
          </w:p>
        </w:tc>
        <w:tc>
          <w:tcPr>
            <w:tcW w:w="1553" w:type="dxa"/>
            <w:vAlign w:val="center"/>
          </w:tcPr>
          <w:p w:rsidR="00DD0432" w:rsidRPr="00A42088" w:rsidRDefault="00DD0432" w:rsidP="00CB5E94">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ОКПД2/ КТРУ</w:t>
            </w:r>
          </w:p>
        </w:tc>
        <w:tc>
          <w:tcPr>
            <w:tcW w:w="1242" w:type="dxa"/>
            <w:shd w:val="clear" w:color="auto" w:fill="FFFFCC"/>
            <w:vAlign w:val="center"/>
          </w:tcPr>
          <w:p w:rsidR="00DD0432" w:rsidRPr="00A42088" w:rsidRDefault="00DD0432" w:rsidP="00CB5E94">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Страна происхождения</w:t>
            </w:r>
          </w:p>
        </w:tc>
        <w:tc>
          <w:tcPr>
            <w:tcW w:w="777" w:type="dxa"/>
            <w:shd w:val="clear" w:color="auto" w:fill="FFFFCC"/>
            <w:vAlign w:val="center"/>
          </w:tcPr>
          <w:p w:rsidR="00DD0432" w:rsidRPr="00A42088" w:rsidRDefault="00DD0432" w:rsidP="00CB5E94">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НДС %</w:t>
            </w:r>
          </w:p>
        </w:tc>
        <w:tc>
          <w:tcPr>
            <w:tcW w:w="1088" w:type="dxa"/>
            <w:shd w:val="clear" w:color="auto" w:fill="FFFFCC"/>
            <w:vAlign w:val="center"/>
          </w:tcPr>
          <w:p w:rsidR="00DD0432" w:rsidRPr="00A42088" w:rsidRDefault="00DD0432" w:rsidP="00CB5E94">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Цена за ед. без </w:t>
            </w:r>
            <w:r w:rsidRPr="00A42088">
              <w:rPr>
                <w:rFonts w:ascii="Times New Roman" w:eastAsia="Times New Roman" w:hAnsi="Times New Roman" w:cs="Times New Roman"/>
                <w:b/>
                <w:lang w:eastAsia="ru-RU"/>
              </w:rPr>
              <w:t>НДС (руб.)</w:t>
            </w:r>
          </w:p>
        </w:tc>
        <w:tc>
          <w:tcPr>
            <w:tcW w:w="1085" w:type="dxa"/>
            <w:shd w:val="clear" w:color="auto" w:fill="FFFFCC"/>
            <w:vAlign w:val="center"/>
          </w:tcPr>
          <w:p w:rsidR="00DD0432" w:rsidRPr="00A42088" w:rsidRDefault="00DD0432" w:rsidP="00CB5E94">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Сумма без </w:t>
            </w:r>
            <w:r w:rsidRPr="00A42088">
              <w:rPr>
                <w:rFonts w:ascii="Times New Roman" w:eastAsia="Times New Roman" w:hAnsi="Times New Roman" w:cs="Times New Roman"/>
                <w:b/>
                <w:lang w:eastAsia="ru-RU"/>
              </w:rPr>
              <w:t>НДС (руб.)</w:t>
            </w:r>
          </w:p>
        </w:tc>
      </w:tr>
      <w:tr w:rsidR="00DD0432" w:rsidRPr="00F4675D" w:rsidTr="00CB5E94">
        <w:trPr>
          <w:trHeight w:val="20"/>
          <w:jc w:val="center"/>
        </w:trPr>
        <w:tc>
          <w:tcPr>
            <w:tcW w:w="569" w:type="dxa"/>
          </w:tcPr>
          <w:p w:rsidR="00DD0432" w:rsidRPr="00A42088" w:rsidRDefault="00DD0432" w:rsidP="00CB5E94">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58" w:type="dxa"/>
            <w:tcBorders>
              <w:top w:val="single" w:sz="6" w:space="0" w:color="000000"/>
              <w:left w:val="single" w:sz="6" w:space="0" w:color="000000"/>
              <w:bottom w:val="single" w:sz="6" w:space="0" w:color="000000"/>
              <w:right w:val="single" w:sz="6" w:space="0" w:color="000000"/>
            </w:tcBorders>
            <w:vAlign w:val="center"/>
          </w:tcPr>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r w:rsidRPr="004A0BC1">
              <w:rPr>
                <w:rFonts w:ascii="Times New Roman" w:hAnsi="Times New Roman" w:cs="Times New Roman"/>
                <w:lang w:eastAsia="ru-RU"/>
              </w:rPr>
              <w:t>Источник радионуклидный для брахитерапии с ручной загрузкой, постоянный имплантат</w:t>
            </w:r>
            <w:r w:rsidRPr="004A0BC1">
              <w:rPr>
                <w:rFonts w:ascii="Times New Roman" w:eastAsia="Calibri" w:hAnsi="Times New Roman" w:cs="Times New Roman"/>
                <w:color w:val="000000"/>
                <w:lang w:eastAsia="ru-RU"/>
              </w:rPr>
              <w:t xml:space="preserve"> </w:t>
            </w: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Pr="004A0BC1"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p w:rsidR="00DD0432" w:rsidRPr="003F1C14" w:rsidRDefault="00DD0432" w:rsidP="00CB5E94">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5434" w:type="dxa"/>
            <w:tcBorders>
              <w:top w:val="single" w:sz="6" w:space="0" w:color="000000"/>
              <w:left w:val="single" w:sz="6" w:space="0" w:color="000000"/>
              <w:bottom w:val="single" w:sz="6" w:space="0" w:color="000000"/>
              <w:right w:val="single" w:sz="6" w:space="0" w:color="000000"/>
            </w:tcBorders>
            <w:vAlign w:val="center"/>
          </w:tcPr>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Микросферы, </w:t>
            </w:r>
            <w:r w:rsidRPr="00447269">
              <w:rPr>
                <w:rFonts w:ascii="Times New Roman" w:eastAsia="Times New Roman" w:hAnsi="Times New Roman" w:cs="Times New Roman"/>
                <w:color w:val="000000"/>
                <w:sz w:val="24"/>
                <w:szCs w:val="24"/>
              </w:rPr>
              <w:t xml:space="preserve">изготовленные из иттрийалюмосиликатного YAS стекла, содержащие радионуклид 90Y, имеют удельную радиоактивность не более 200 ГБк/г. /в диапазоне от 10 до 200 ГБк/г с шагом в 10 ГБк </w:t>
            </w:r>
          </w:p>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Масса фасовки микросфер: не более 0,1 г. Микросферы находятся внутри стеклянного флакона с коническим дном объемом 1,2 мл, заполненного стерильной апирогенной водой.</w:t>
            </w:r>
          </w:p>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Флакон с микросферами помещен в защитный свинцовый контейнер с вклеенной акриловой вставкой.</w:t>
            </w:r>
          </w:p>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Примеси основных сопутствующих изотопов в облученных микросферах: - 89Sr, 88Y, %, не более 0,1 от активности 90Y.</w:t>
            </w:r>
          </w:p>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xml:space="preserve">Флакон в транспортной упаковке. </w:t>
            </w:r>
          </w:p>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Микроисточники поставляются с суммарной активностью фасовки на дату калибровки в диапазоне от 1 до 20 ГБк с шагом в 1 ГБк (в соответствии с заявкой).</w:t>
            </w:r>
          </w:p>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Комплект для введения:</w:t>
            </w:r>
          </w:p>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xml:space="preserve">- шприц трёхкомпонентный 20 мл, без иглы, -  не менее 1 шт.; </w:t>
            </w:r>
          </w:p>
          <w:p w:rsidR="00DD0432" w:rsidRPr="00447269" w:rsidRDefault="00DD0432" w:rsidP="00CB5E94">
            <w:pPr>
              <w:shd w:val="clear" w:color="auto" w:fill="FFFFFF"/>
              <w:spacing w:after="0" w:line="300" w:lineRule="atLeast"/>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кран 3-х ходовой, – не менее 3 шт.;</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xml:space="preserve">- коннектор с возвратным клапаном, не менее - 1 шт.; </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адаптер с наружной резьбой, не менее - 3 шт.;</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игла 21G, 0,8x40 мм, не менее - 1 шт.;</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xml:space="preserve">- игла 21G, 0,8x50 мм, не менее - 1 шт.; </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xml:space="preserve">- трубка поливинилхлоридная №1, не менее - 1 шт.; </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трубка поливинилхлоридная №2, не менее - 3 шт.;</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трубка поливинилхлоридная №3, не менее - 1 шт.;</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xml:space="preserve">- трубка поливинилхлоридная №4, не менее - 1 шт.; </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флакон 10 мл – не менее 1 шт.;</w:t>
            </w:r>
          </w:p>
          <w:p w:rsidR="00DD0432" w:rsidRPr="00447269" w:rsidRDefault="00DD0432" w:rsidP="00CB5E94">
            <w:pPr>
              <w:shd w:val="clear" w:color="auto" w:fill="FFFFFF"/>
              <w:spacing w:after="0" w:line="300" w:lineRule="atLeast"/>
              <w:jc w:val="both"/>
              <w:textAlignment w:val="baseline"/>
              <w:rPr>
                <w:rFonts w:ascii="Times New Roman" w:eastAsia="Times New Roman" w:hAnsi="Times New Roman" w:cs="Times New Roman"/>
                <w:color w:val="000000"/>
                <w:sz w:val="24"/>
                <w:szCs w:val="24"/>
              </w:rPr>
            </w:pPr>
            <w:r w:rsidRPr="00447269">
              <w:rPr>
                <w:rFonts w:ascii="Times New Roman" w:eastAsia="Times New Roman" w:hAnsi="Times New Roman" w:cs="Times New Roman"/>
                <w:color w:val="000000"/>
                <w:sz w:val="24"/>
                <w:szCs w:val="24"/>
              </w:rPr>
              <w:t xml:space="preserve">- направляющая для игл малая – не менее 1 шт.; </w:t>
            </w:r>
          </w:p>
          <w:p w:rsidR="00DD0432" w:rsidRPr="00417478" w:rsidRDefault="00DD0432" w:rsidP="00CB5E94">
            <w:pPr>
              <w:autoSpaceDE w:val="0"/>
              <w:autoSpaceDN w:val="0"/>
              <w:adjustRightInd w:val="0"/>
              <w:spacing w:after="0" w:line="240" w:lineRule="auto"/>
              <w:rPr>
                <w:rFonts w:ascii="Times New Roman" w:eastAsia="Times New Roman" w:hAnsi="Times New Roman" w:cs="Times New Roman"/>
                <w:lang w:eastAsia="ru-RU"/>
              </w:rPr>
            </w:pPr>
            <w:r w:rsidRPr="00447269">
              <w:rPr>
                <w:rFonts w:ascii="Times New Roman" w:eastAsia="Times New Roman" w:hAnsi="Times New Roman" w:cs="Times New Roman"/>
                <w:color w:val="000000"/>
                <w:sz w:val="24"/>
                <w:szCs w:val="24"/>
              </w:rPr>
              <w:t>- направляющая для игл большая – не менее 1 шт.</w:t>
            </w:r>
          </w:p>
        </w:tc>
        <w:tc>
          <w:tcPr>
            <w:tcW w:w="1087" w:type="dxa"/>
            <w:shd w:val="clear" w:color="auto" w:fill="auto"/>
          </w:tcPr>
          <w:p w:rsidR="00DD0432" w:rsidRPr="00E03DA3" w:rsidRDefault="00DD0432" w:rsidP="00CB5E94">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242" w:type="dxa"/>
            <w:shd w:val="clear" w:color="auto" w:fill="auto"/>
          </w:tcPr>
          <w:p w:rsidR="00DD0432" w:rsidRPr="00E03DA3" w:rsidRDefault="00DD0432" w:rsidP="00CB5E9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1553" w:type="dxa"/>
          </w:tcPr>
          <w:p w:rsidR="00DD0432" w:rsidRPr="004A0BC1" w:rsidRDefault="00DD0432" w:rsidP="00CB5E94">
            <w:pPr>
              <w:jc w:val="center"/>
              <w:rPr>
                <w:rFonts w:ascii="Times New Roman" w:hAnsi="Times New Roman" w:cs="Times New Roman"/>
              </w:rPr>
            </w:pPr>
            <w:r w:rsidRPr="004A0BC1">
              <w:rPr>
                <w:rFonts w:ascii="Times New Roman" w:hAnsi="Times New Roman" w:cs="Times New Roman"/>
                <w:lang w:eastAsia="ru-RU"/>
              </w:rPr>
              <w:t>26.60.11.130-00000021*</w:t>
            </w:r>
          </w:p>
        </w:tc>
        <w:tc>
          <w:tcPr>
            <w:tcW w:w="1242" w:type="dxa"/>
            <w:shd w:val="clear" w:color="auto" w:fill="FFFFCC"/>
          </w:tcPr>
          <w:p w:rsidR="00DD0432" w:rsidRPr="0027229F" w:rsidRDefault="00DD0432" w:rsidP="00CB5E94">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DD0432" w:rsidRPr="00F4675D" w:rsidRDefault="00DD0432" w:rsidP="00CB5E94">
            <w:pPr>
              <w:spacing w:after="0" w:line="240" w:lineRule="auto"/>
              <w:jc w:val="center"/>
              <w:rPr>
                <w:rFonts w:ascii="Times New Roman" w:eastAsia="Times New Roman" w:hAnsi="Times New Roman" w:cs="Times New Roman"/>
                <w:lang w:eastAsia="ru-RU"/>
              </w:rPr>
            </w:pPr>
          </w:p>
        </w:tc>
        <w:tc>
          <w:tcPr>
            <w:tcW w:w="1088" w:type="dxa"/>
            <w:shd w:val="clear" w:color="auto" w:fill="FFFFCC"/>
          </w:tcPr>
          <w:p w:rsidR="00DD0432" w:rsidRPr="00F4675D" w:rsidRDefault="00DD0432" w:rsidP="00CB5E94">
            <w:pPr>
              <w:spacing w:after="0" w:line="240" w:lineRule="auto"/>
              <w:jc w:val="center"/>
              <w:rPr>
                <w:rFonts w:ascii="Times New Roman" w:eastAsia="Times New Roman" w:hAnsi="Times New Roman" w:cs="Times New Roman"/>
                <w:lang w:eastAsia="ru-RU"/>
              </w:rPr>
            </w:pPr>
          </w:p>
        </w:tc>
        <w:tc>
          <w:tcPr>
            <w:tcW w:w="1085" w:type="dxa"/>
            <w:shd w:val="clear" w:color="auto" w:fill="FFFFCC"/>
          </w:tcPr>
          <w:p w:rsidR="00DD0432" w:rsidRPr="00F4675D" w:rsidRDefault="00DD0432" w:rsidP="00CB5E94">
            <w:pPr>
              <w:spacing w:after="0" w:line="240" w:lineRule="auto"/>
              <w:jc w:val="center"/>
              <w:rPr>
                <w:rFonts w:ascii="Times New Roman" w:eastAsia="Times New Roman" w:hAnsi="Times New Roman" w:cs="Times New Roman"/>
                <w:lang w:eastAsia="ru-RU"/>
              </w:rPr>
            </w:pPr>
          </w:p>
        </w:tc>
      </w:tr>
    </w:tbl>
    <w:p w:rsidR="00DD0432" w:rsidRDefault="00DD0432" w:rsidP="00DD0432">
      <w:pPr>
        <w:rPr>
          <w:rFonts w:ascii="Times New Roman CYR" w:hAnsi="Times New Roman CYR" w:cs="Times New Roman CYR"/>
          <w:b/>
          <w:bCs/>
        </w:rPr>
      </w:pPr>
    </w:p>
    <w:p w:rsidR="00DD0432" w:rsidRDefault="00DD0432" w:rsidP="00DD0432">
      <w:pPr>
        <w:rPr>
          <w:rFonts w:ascii="Times New Roman" w:hAnsi="Times New Roman" w:cs="Times New Roman"/>
          <w:b/>
          <w:sz w:val="28"/>
          <w:szCs w:val="28"/>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D80EF9">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D80EF9">
        <w:rPr>
          <w:rFonts w:ascii="Roboto" w:hAnsi="Roboto" w:cs="Roboto"/>
          <w:color w:val="333333"/>
          <w:highlight w:val="white"/>
        </w:rPr>
        <w:t xml:space="preserve"> </w:t>
      </w:r>
      <w:r>
        <w:rPr>
          <w:rFonts w:ascii="Calibri" w:hAnsi="Calibri" w:cs="Calibri"/>
          <w:color w:val="333333"/>
          <w:highlight w:val="white"/>
        </w:rPr>
        <w:t>России</w:t>
      </w:r>
      <w:r w:rsidRPr="00D80EF9">
        <w:rPr>
          <w:rFonts w:ascii="Roboto" w:hAnsi="Roboto" w:cs="Roboto"/>
          <w:color w:val="333333"/>
          <w:highlight w:val="white"/>
        </w:rPr>
        <w:t xml:space="preserve"> </w:t>
      </w:r>
      <w:r>
        <w:rPr>
          <w:rFonts w:ascii="Calibri" w:hAnsi="Calibri" w:cs="Calibri"/>
          <w:color w:val="333333"/>
          <w:highlight w:val="white"/>
        </w:rPr>
        <w:t>от</w:t>
      </w:r>
      <w:r w:rsidRPr="00D80EF9">
        <w:rPr>
          <w:rFonts w:ascii="Roboto" w:hAnsi="Roboto" w:cs="Roboto"/>
          <w:color w:val="333333"/>
          <w:highlight w:val="white"/>
        </w:rPr>
        <w:t xml:space="preserve"> 24 </w:t>
      </w:r>
      <w:r>
        <w:rPr>
          <w:rFonts w:ascii="Calibri" w:hAnsi="Calibri" w:cs="Calibri"/>
          <w:color w:val="333333"/>
          <w:highlight w:val="white"/>
        </w:rPr>
        <w:t>января</w:t>
      </w:r>
      <w:r w:rsidRPr="00D80EF9">
        <w:rPr>
          <w:rFonts w:ascii="Roboto" w:hAnsi="Roboto" w:cs="Roboto"/>
          <w:color w:val="333333"/>
          <w:highlight w:val="white"/>
        </w:rPr>
        <w:t xml:space="preserve"> 2022 </w:t>
      </w:r>
      <w:r>
        <w:rPr>
          <w:rFonts w:ascii="Calibri" w:hAnsi="Calibri" w:cs="Calibri"/>
          <w:color w:val="333333"/>
          <w:highlight w:val="white"/>
        </w:rPr>
        <w:t>г</w:t>
      </w:r>
      <w:r w:rsidRPr="00D80EF9">
        <w:rPr>
          <w:rFonts w:ascii="Roboto" w:hAnsi="Roboto" w:cs="Roboto"/>
          <w:color w:val="333333"/>
          <w:highlight w:val="white"/>
        </w:rPr>
        <w:t xml:space="preserve">. </w:t>
      </w:r>
      <w:r>
        <w:rPr>
          <w:rFonts w:ascii="Roboto" w:hAnsi="Roboto" w:cs="Roboto"/>
          <w:color w:val="333333"/>
          <w:highlight w:val="white"/>
          <w:lang w:val="en-US"/>
        </w:rPr>
        <w:t>N</w:t>
      </w:r>
      <w:r w:rsidRPr="00D80EF9">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DD0432">
      <w:headerReference w:type="first" r:id="rId19"/>
      <w:footerReference w:type="first" r:id="rId20"/>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B7A" w:rsidRDefault="00013B7A">
      <w:pPr>
        <w:spacing w:after="0" w:line="240" w:lineRule="auto"/>
      </w:pPr>
      <w:r>
        <w:separator/>
      </w:r>
    </w:p>
  </w:endnote>
  <w:endnote w:type="continuationSeparator" w:id="0">
    <w:p w:rsidR="00013B7A" w:rsidRDefault="0001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2094F" w:rsidRDefault="00E2094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2094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2094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2094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2094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D043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2094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D043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B7A" w:rsidRDefault="00013B7A">
      <w:pPr>
        <w:spacing w:after="0" w:line="240" w:lineRule="auto"/>
      </w:pPr>
      <w:r>
        <w:separator/>
      </w:r>
    </w:p>
  </w:footnote>
  <w:footnote w:type="continuationSeparator" w:id="0">
    <w:p w:rsidR="00013B7A" w:rsidRDefault="00013B7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2094F" w:rsidRDefault="00E2094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2094F" w:rsidRDefault="00E2094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2094F" w:rsidRDefault="00E2094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3B7A"/>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0432"/>
    <w:rsid w:val="00DD6DFD"/>
    <w:rsid w:val="00DE242D"/>
    <w:rsid w:val="00DE5680"/>
    <w:rsid w:val="00DF64BD"/>
    <w:rsid w:val="00DF79BE"/>
    <w:rsid w:val="00E02EB4"/>
    <w:rsid w:val="00E06D2F"/>
    <w:rsid w:val="00E2094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20CCA-E0DC-4362-B705-E17E65EA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2026-03-27T10:34:00Z</dcterms:created>
  <dcterms:modified xsi:type="dcterms:W3CDTF">2026-03-27T10:34:00Z</dcterms:modified>
</cp:coreProperties>
</file>