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420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046F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046F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046F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133"/>
        <w:gridCol w:w="3386"/>
        <w:gridCol w:w="1295"/>
        <w:gridCol w:w="722"/>
        <w:gridCol w:w="2300"/>
        <w:gridCol w:w="862"/>
        <w:gridCol w:w="1002"/>
        <w:gridCol w:w="862"/>
        <w:gridCol w:w="719"/>
        <w:gridCol w:w="1012"/>
        <w:gridCol w:w="853"/>
      </w:tblGrid>
      <w:tr w:rsidR="001046F4" w:rsidRPr="00155D15" w:rsidTr="009974B4">
        <w:trPr>
          <w:trHeight w:val="499"/>
        </w:trPr>
        <w:tc>
          <w:tcPr>
            <w:tcW w:w="455" w:type="pct"/>
            <w:vMerge w:val="restar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товара, работы, услуги</w:t>
            </w:r>
          </w:p>
        </w:tc>
        <w:tc>
          <w:tcPr>
            <w:tcW w:w="364" w:type="pct"/>
            <w:vMerge w:val="restar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Код позиции</w:t>
            </w:r>
          </w:p>
        </w:tc>
        <w:tc>
          <w:tcPr>
            <w:tcW w:w="2475" w:type="pct"/>
            <w:gridSpan w:val="4"/>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Характеристики товара, работы, услуги</w:t>
            </w:r>
          </w:p>
        </w:tc>
        <w:tc>
          <w:tcPr>
            <w:tcW w:w="277" w:type="pct"/>
            <w:vMerge w:val="restart"/>
            <w:vAlign w:val="center"/>
            <w:hideMark/>
          </w:tcPr>
          <w:p w:rsidR="001046F4"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Количество</w:t>
            </w: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(объем работы, услуги)</w:t>
            </w:r>
          </w:p>
        </w:tc>
        <w:tc>
          <w:tcPr>
            <w:tcW w:w="322" w:type="pct"/>
            <w:vMerge w:val="restar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w:t>
            </w:r>
          </w:p>
        </w:tc>
        <w:tc>
          <w:tcPr>
            <w:tcW w:w="277" w:type="pct"/>
            <w:vMerge w:val="restart"/>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Страна происхождения</w:t>
            </w:r>
          </w:p>
        </w:tc>
        <w:tc>
          <w:tcPr>
            <w:tcW w:w="231" w:type="pct"/>
            <w:vMerge w:val="restart"/>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325" w:type="pct"/>
            <w:vMerge w:val="restart"/>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Цена за единицу без</w:t>
            </w:r>
          </w:p>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73" w:type="pct"/>
            <w:vMerge w:val="restart"/>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p>
          <w:p w:rsidR="001046F4" w:rsidRPr="005C5A65" w:rsidRDefault="001046F4" w:rsidP="009974B4">
            <w:pPr>
              <w:jc w:val="center"/>
              <w:rPr>
                <w:rFonts w:ascii="Times New Roman" w:eastAsia="Times New Roman" w:hAnsi="Times New Roman" w:cs="Times New Roman"/>
                <w:b/>
                <w:sz w:val="16"/>
                <w:szCs w:val="16"/>
                <w:lang w:eastAsia="ru-RU"/>
              </w:rPr>
            </w:pPr>
          </w:p>
          <w:p w:rsidR="001046F4" w:rsidRPr="005C5A65" w:rsidRDefault="001046F4" w:rsidP="009974B4">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Сумма без</w:t>
            </w:r>
            <w:r w:rsidRPr="005C5A65">
              <w:rPr>
                <w:rFonts w:ascii="Times New Roman" w:eastAsia="Times New Roman" w:hAnsi="Times New Roman" w:cs="Times New Roman"/>
                <w:b/>
                <w:sz w:val="16"/>
                <w:szCs w:val="16"/>
                <w:lang w:eastAsia="ru-RU"/>
              </w:rPr>
              <w:t xml:space="preserve"> НДС</w:t>
            </w:r>
          </w:p>
        </w:tc>
      </w:tr>
      <w:tr w:rsidR="001046F4" w:rsidRPr="00155D15" w:rsidTr="009974B4">
        <w:trPr>
          <w:trHeight w:val="499"/>
        </w:trPr>
        <w:tc>
          <w:tcPr>
            <w:tcW w:w="455" w:type="pct"/>
            <w:vMerge/>
            <w:vAlign w:val="center"/>
            <w:hideMark/>
          </w:tcPr>
          <w:p w:rsidR="001046F4" w:rsidRPr="005C5A65" w:rsidRDefault="001046F4" w:rsidP="009974B4">
            <w:pPr>
              <w:spacing w:after="0" w:line="240" w:lineRule="auto"/>
              <w:rPr>
                <w:rFonts w:ascii="Times New Roman" w:eastAsia="Times New Roman" w:hAnsi="Times New Roman" w:cs="Times New Roman"/>
                <w:b/>
                <w:bCs/>
                <w:color w:val="000000"/>
                <w:sz w:val="16"/>
                <w:szCs w:val="16"/>
                <w:lang w:eastAsia="ru-RU"/>
              </w:rPr>
            </w:pPr>
          </w:p>
        </w:tc>
        <w:tc>
          <w:tcPr>
            <w:tcW w:w="364" w:type="pct"/>
            <w:vMerge/>
            <w:vAlign w:val="center"/>
            <w:hideMark/>
          </w:tcPr>
          <w:p w:rsidR="001046F4" w:rsidRPr="005C5A65" w:rsidRDefault="001046F4" w:rsidP="009974B4">
            <w:pPr>
              <w:spacing w:after="0" w:line="240" w:lineRule="auto"/>
              <w:rPr>
                <w:rFonts w:ascii="Times New Roman" w:eastAsia="Times New Roman" w:hAnsi="Times New Roman" w:cs="Times New Roman"/>
                <w:b/>
                <w:bCs/>
                <w:color w:val="000000"/>
                <w:sz w:val="16"/>
                <w:szCs w:val="16"/>
                <w:lang w:eastAsia="ru-RU"/>
              </w:rPr>
            </w:pPr>
          </w:p>
        </w:tc>
        <w:tc>
          <w:tcPr>
            <w:tcW w:w="1088" w:type="pc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характеристики</w:t>
            </w:r>
          </w:p>
        </w:tc>
        <w:tc>
          <w:tcPr>
            <w:tcW w:w="416" w:type="pc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Значение характеристики</w:t>
            </w:r>
          </w:p>
        </w:tc>
        <w:tc>
          <w:tcPr>
            <w:tcW w:w="232" w:type="pc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 характеристики</w:t>
            </w:r>
          </w:p>
        </w:tc>
        <w:tc>
          <w:tcPr>
            <w:tcW w:w="739" w:type="pct"/>
            <w:vAlign w:val="center"/>
            <w:hideMark/>
          </w:tcPr>
          <w:p w:rsidR="001046F4" w:rsidRPr="005C5A65" w:rsidRDefault="001046F4" w:rsidP="009974B4">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77" w:type="pct"/>
            <w:vMerge/>
            <w:vAlign w:val="center"/>
            <w:hideMark/>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c>
          <w:tcPr>
            <w:tcW w:w="322" w:type="pct"/>
            <w:vMerge/>
            <w:vAlign w:val="center"/>
            <w:hideMark/>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bCs/>
                <w:color w:val="000000"/>
                <w:sz w:val="18"/>
                <w:szCs w:val="18"/>
                <w:lang w:eastAsia="ru-RU"/>
              </w:rPr>
            </w:pPr>
          </w:p>
        </w:tc>
      </w:tr>
      <w:tr w:rsidR="001046F4" w:rsidRPr="00155D15" w:rsidTr="009974B4">
        <w:trPr>
          <w:trHeight w:val="499"/>
        </w:trPr>
        <w:tc>
          <w:tcPr>
            <w:tcW w:w="455" w:type="pct"/>
            <w:vMerge w:val="restart"/>
            <w:vAlign w:val="center"/>
          </w:tcPr>
          <w:p w:rsidR="001046F4" w:rsidRPr="004D6A3F" w:rsidRDefault="001046F4" w:rsidP="009974B4">
            <w:pPr>
              <w:spacing w:after="0" w:line="240" w:lineRule="auto"/>
              <w:jc w:val="center"/>
              <w:rPr>
                <w:rFonts w:ascii="Times New Roman" w:eastAsia="Times New Roman" w:hAnsi="Times New Roman" w:cs="Times New Roman"/>
                <w:sz w:val="16"/>
                <w:szCs w:val="16"/>
                <w:lang w:eastAsia="ru-RU"/>
              </w:rPr>
            </w:pPr>
            <w:r w:rsidRPr="004D6A3F">
              <w:rPr>
                <w:rFonts w:ascii="Times New Roman" w:hAnsi="Times New Roman" w:cs="Times New Roman"/>
                <w:sz w:val="16"/>
                <w:szCs w:val="16"/>
                <w:shd w:val="clear" w:color="auto" w:fill="FFFFFF"/>
              </w:rPr>
              <w:t>Маркер для локализации области патологии, имплантируемый</w:t>
            </w:r>
          </w:p>
        </w:tc>
        <w:tc>
          <w:tcPr>
            <w:tcW w:w="364" w:type="pct"/>
            <w:vMerge w:val="restart"/>
            <w:vAlign w:val="center"/>
          </w:tcPr>
          <w:p w:rsidR="001046F4" w:rsidRPr="004D6A3F" w:rsidRDefault="001046F4" w:rsidP="009974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32.50.50.190-00000058*</w:t>
            </w:r>
          </w:p>
        </w:tc>
        <w:tc>
          <w:tcPr>
            <w:tcW w:w="1088" w:type="pct"/>
            <w:shd w:val="clear" w:color="000000" w:fill="FFFFFF"/>
            <w:vAlign w:val="center"/>
          </w:tcPr>
          <w:p w:rsidR="001046F4" w:rsidRPr="00A41584" w:rsidRDefault="001046F4" w:rsidP="00966FD3">
            <w:pPr>
              <w:rPr>
                <w:rFonts w:ascii="Times New Roman" w:hAnsi="Times New Roman" w:cs="Times New Roman"/>
                <w:sz w:val="16"/>
                <w:szCs w:val="16"/>
              </w:rPr>
            </w:pPr>
            <w:r>
              <w:rPr>
                <w:rFonts w:ascii="Times New Roman" w:hAnsi="Times New Roman" w:cs="Times New Roman"/>
                <w:sz w:val="16"/>
                <w:szCs w:val="16"/>
              </w:rPr>
              <w:t>Назначение:</w:t>
            </w:r>
            <w:r>
              <w:t xml:space="preserve"> </w:t>
            </w:r>
            <w:r w:rsidRPr="00382056">
              <w:rPr>
                <w:rFonts w:ascii="Times New Roman" w:hAnsi="Times New Roman" w:cs="Times New Roman"/>
                <w:sz w:val="16"/>
                <w:szCs w:val="16"/>
              </w:rPr>
              <w:t>Рен</w:t>
            </w:r>
            <w:r>
              <w:rPr>
                <w:rFonts w:ascii="Times New Roman" w:hAnsi="Times New Roman" w:cs="Times New Roman"/>
                <w:sz w:val="16"/>
                <w:szCs w:val="16"/>
              </w:rPr>
              <w:t xml:space="preserve">тгенконтрастный </w:t>
            </w:r>
            <w:r w:rsidR="00966FD3">
              <w:rPr>
                <w:rFonts w:ascii="Times New Roman" w:hAnsi="Times New Roman" w:cs="Times New Roman"/>
                <w:sz w:val="16"/>
                <w:szCs w:val="16"/>
              </w:rPr>
              <w:t>м</w:t>
            </w:r>
            <w:r>
              <w:rPr>
                <w:rFonts w:ascii="Times New Roman" w:hAnsi="Times New Roman" w:cs="Times New Roman"/>
                <w:sz w:val="16"/>
                <w:szCs w:val="16"/>
              </w:rPr>
              <w:t xml:space="preserve">аркер </w:t>
            </w:r>
            <w:r w:rsidRPr="00382056">
              <w:rPr>
                <w:rFonts w:ascii="Times New Roman" w:hAnsi="Times New Roman" w:cs="Times New Roman"/>
                <w:sz w:val="16"/>
                <w:szCs w:val="16"/>
              </w:rPr>
              <w:t>предназначен для визуализации патологических мягкотканых образований при проведении прецизионной лучевой терапии</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restart"/>
            <w:vAlign w:val="center"/>
          </w:tcPr>
          <w:p w:rsidR="001046F4" w:rsidRPr="004D6A3F" w:rsidRDefault="00B9601D" w:rsidP="009974B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700</w:t>
            </w:r>
          </w:p>
        </w:tc>
        <w:tc>
          <w:tcPr>
            <w:tcW w:w="322" w:type="pct"/>
            <w:vMerge w:val="restart"/>
            <w:vAlign w:val="center"/>
          </w:tcPr>
          <w:p w:rsidR="001046F4" w:rsidRPr="004D6A3F" w:rsidRDefault="001046F4" w:rsidP="009974B4">
            <w:pPr>
              <w:spacing w:after="0" w:line="240" w:lineRule="auto"/>
              <w:jc w:val="center"/>
              <w:rPr>
                <w:rFonts w:ascii="Times New Roman" w:eastAsia="Times New Roman" w:hAnsi="Times New Roman" w:cs="Times New Roman"/>
                <w:color w:val="000000"/>
                <w:sz w:val="16"/>
                <w:szCs w:val="16"/>
                <w:lang w:eastAsia="ru-RU"/>
              </w:rPr>
            </w:pPr>
            <w:r w:rsidRPr="004D6A3F">
              <w:rPr>
                <w:rFonts w:ascii="Times New Roman" w:eastAsia="Times New Roman" w:hAnsi="Times New Roman" w:cs="Times New Roman"/>
                <w:color w:val="000000"/>
                <w:sz w:val="16"/>
                <w:szCs w:val="16"/>
                <w:lang w:eastAsia="ru-RU"/>
              </w:rPr>
              <w:t>шт</w:t>
            </w:r>
          </w:p>
        </w:tc>
        <w:tc>
          <w:tcPr>
            <w:tcW w:w="277" w:type="pct"/>
            <w:vMerge w:val="restart"/>
          </w:tcPr>
          <w:p w:rsidR="001046F4" w:rsidRPr="00155D15" w:rsidRDefault="001046F4" w:rsidP="009974B4">
            <w:pPr>
              <w:spacing w:after="0" w:line="240" w:lineRule="auto"/>
              <w:jc w:val="right"/>
              <w:rPr>
                <w:rFonts w:ascii="Times New Roman" w:eastAsia="Times New Roman" w:hAnsi="Times New Roman" w:cs="Times New Roman"/>
                <w:color w:val="000000"/>
                <w:sz w:val="18"/>
                <w:szCs w:val="18"/>
                <w:lang w:eastAsia="ru-RU"/>
              </w:rPr>
            </w:pPr>
          </w:p>
        </w:tc>
        <w:tc>
          <w:tcPr>
            <w:tcW w:w="231" w:type="pct"/>
            <w:vMerge w:val="restart"/>
          </w:tcPr>
          <w:p w:rsidR="001046F4" w:rsidRPr="00155D15" w:rsidRDefault="001046F4" w:rsidP="009974B4">
            <w:pPr>
              <w:spacing w:after="0" w:line="240" w:lineRule="auto"/>
              <w:jc w:val="right"/>
              <w:rPr>
                <w:rFonts w:ascii="Times New Roman" w:eastAsia="Times New Roman" w:hAnsi="Times New Roman" w:cs="Times New Roman"/>
                <w:color w:val="000000"/>
                <w:sz w:val="18"/>
                <w:szCs w:val="18"/>
                <w:lang w:eastAsia="ru-RU"/>
              </w:rPr>
            </w:pPr>
          </w:p>
        </w:tc>
        <w:tc>
          <w:tcPr>
            <w:tcW w:w="325" w:type="pct"/>
            <w:vMerge w:val="restart"/>
          </w:tcPr>
          <w:p w:rsidR="001046F4" w:rsidRPr="00155D15" w:rsidRDefault="001046F4" w:rsidP="009974B4">
            <w:pPr>
              <w:spacing w:after="0" w:line="240" w:lineRule="auto"/>
              <w:jc w:val="right"/>
              <w:rPr>
                <w:rFonts w:ascii="Times New Roman" w:eastAsia="Times New Roman" w:hAnsi="Times New Roman" w:cs="Times New Roman"/>
                <w:color w:val="000000"/>
                <w:sz w:val="18"/>
                <w:szCs w:val="18"/>
                <w:lang w:eastAsia="ru-RU"/>
              </w:rPr>
            </w:pPr>
          </w:p>
        </w:tc>
        <w:tc>
          <w:tcPr>
            <w:tcW w:w="273" w:type="pct"/>
            <w:vMerge w:val="restart"/>
          </w:tcPr>
          <w:p w:rsidR="001046F4" w:rsidRPr="00155D15" w:rsidRDefault="001046F4" w:rsidP="009974B4">
            <w:pPr>
              <w:spacing w:after="0" w:line="240" w:lineRule="auto"/>
              <w:jc w:val="right"/>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382056" w:rsidRDefault="00966FD3" w:rsidP="00966FD3">
            <w:pPr>
              <w:pStyle w:val="af7"/>
              <w:rPr>
                <w:rFonts w:ascii="Times New Roman" w:hAnsi="Times New Roman"/>
                <w:sz w:val="16"/>
                <w:szCs w:val="16"/>
              </w:rPr>
            </w:pPr>
            <w:r>
              <w:rPr>
                <w:rFonts w:ascii="Times New Roman" w:hAnsi="Times New Roman"/>
                <w:sz w:val="16"/>
                <w:szCs w:val="16"/>
              </w:rPr>
              <w:t>Для детекции м</w:t>
            </w:r>
            <w:r w:rsidR="001046F4" w:rsidRPr="00382056">
              <w:rPr>
                <w:rFonts w:ascii="Times New Roman" w:hAnsi="Times New Roman"/>
                <w:sz w:val="16"/>
                <w:szCs w:val="16"/>
              </w:rPr>
              <w:t>аркера могут быть использованы УЗИ, СРКТ, МРТ и рентгенологические исследования</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auto" w:fill="auto"/>
            <w:vAlign w:val="center"/>
          </w:tcPr>
          <w:p w:rsidR="001046F4" w:rsidRPr="00A41584" w:rsidRDefault="001046F4" w:rsidP="009974B4">
            <w:pPr>
              <w:rPr>
                <w:rFonts w:ascii="Times New Roman" w:hAnsi="Times New Roman" w:cs="Times New Roman"/>
                <w:sz w:val="16"/>
                <w:szCs w:val="16"/>
              </w:rPr>
            </w:pPr>
            <w:r>
              <w:rPr>
                <w:rFonts w:ascii="Times New Roman" w:hAnsi="Times New Roman" w:cs="Times New Roman"/>
                <w:sz w:val="16"/>
                <w:szCs w:val="16"/>
              </w:rPr>
              <w:t xml:space="preserve">Маркер </w:t>
            </w:r>
            <w:r w:rsidRPr="00382056">
              <w:rPr>
                <w:rFonts w:ascii="Times New Roman" w:hAnsi="Times New Roman" w:cs="Times New Roman"/>
                <w:sz w:val="16"/>
                <w:szCs w:val="16"/>
              </w:rPr>
              <w:t>выполнен в виде отдельных звеньев из золотой проволоки, соединенных между собой перемычками с уменьшенными сечениями, что позволяет ему складываться и  принимать в мягких тканях сложную геометрическую форму, препятствующую его дальнейшему движению.</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382056" w:rsidRDefault="001046F4" w:rsidP="00966FD3">
            <w:pPr>
              <w:pStyle w:val="af7"/>
              <w:rPr>
                <w:rFonts w:ascii="Times New Roman" w:hAnsi="Times New Roman"/>
                <w:sz w:val="16"/>
                <w:szCs w:val="16"/>
              </w:rPr>
            </w:pPr>
            <w:r w:rsidRPr="00382056">
              <w:rPr>
                <w:rFonts w:ascii="Times New Roman" w:hAnsi="Times New Roman"/>
                <w:sz w:val="16"/>
                <w:szCs w:val="16"/>
              </w:rPr>
              <w:t xml:space="preserve">В комплект входят: игла с предустановленным в нее </w:t>
            </w:r>
            <w:r w:rsidR="00966FD3">
              <w:rPr>
                <w:rFonts w:ascii="Times New Roman" w:hAnsi="Times New Roman"/>
                <w:sz w:val="16"/>
                <w:szCs w:val="16"/>
              </w:rPr>
              <w:t>м</w:t>
            </w:r>
            <w:r w:rsidRPr="00382056">
              <w:rPr>
                <w:rFonts w:ascii="Times New Roman" w:hAnsi="Times New Roman"/>
                <w:sz w:val="16"/>
                <w:szCs w:val="16"/>
              </w:rPr>
              <w:t>аркером, наконечник Люера, защитная трубка, ограничитель маркера, мандрен, инструкция по эксплуатации.</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382056" w:rsidRDefault="001046F4" w:rsidP="009974B4">
            <w:pPr>
              <w:rPr>
                <w:rFonts w:ascii="Times New Roman" w:hAnsi="Times New Roman" w:cs="Times New Roman"/>
                <w:b/>
                <w:sz w:val="16"/>
                <w:szCs w:val="16"/>
              </w:rPr>
            </w:pPr>
            <w:r>
              <w:rPr>
                <w:rFonts w:ascii="Times New Roman" w:hAnsi="Times New Roman" w:cs="Times New Roman"/>
                <w:b/>
                <w:sz w:val="16"/>
                <w:szCs w:val="16"/>
              </w:rPr>
              <w:t>Характеристики</w:t>
            </w:r>
            <w:r w:rsidRPr="00382056">
              <w:rPr>
                <w:rFonts w:ascii="Times New Roman" w:hAnsi="Times New Roman" w:cs="Times New Roman"/>
                <w:b/>
                <w:sz w:val="16"/>
                <w:szCs w:val="16"/>
              </w:rPr>
              <w:t xml:space="preserve"> составных частей: игла</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382056" w:rsidRDefault="001046F4" w:rsidP="009974B4">
            <w:pPr>
              <w:pStyle w:val="af7"/>
              <w:rPr>
                <w:rFonts w:ascii="Times New Roman" w:hAnsi="Times New Roman"/>
                <w:sz w:val="16"/>
                <w:szCs w:val="16"/>
              </w:rPr>
            </w:pPr>
            <w:r>
              <w:rPr>
                <w:rFonts w:ascii="Times New Roman" w:hAnsi="Times New Roman"/>
                <w:sz w:val="16"/>
                <w:szCs w:val="16"/>
              </w:rPr>
              <w:t xml:space="preserve">Материал: </w:t>
            </w:r>
            <w:r w:rsidRPr="00382056">
              <w:rPr>
                <w:rFonts w:ascii="Times New Roman" w:hAnsi="Times New Roman"/>
                <w:sz w:val="16"/>
                <w:szCs w:val="16"/>
              </w:rPr>
              <w:t>нержавеющая сталь</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382056" w:rsidRDefault="001046F4" w:rsidP="009974B4">
            <w:pPr>
              <w:pStyle w:val="af7"/>
              <w:rPr>
                <w:rFonts w:ascii="Times New Roman" w:hAnsi="Times New Roman"/>
                <w:sz w:val="16"/>
                <w:szCs w:val="16"/>
              </w:rPr>
            </w:pPr>
            <w:r>
              <w:rPr>
                <w:rFonts w:ascii="Times New Roman" w:hAnsi="Times New Roman"/>
                <w:sz w:val="16"/>
                <w:szCs w:val="16"/>
              </w:rPr>
              <w:t>Д</w:t>
            </w:r>
            <w:r w:rsidRPr="00382056">
              <w:rPr>
                <w:rFonts w:ascii="Times New Roman" w:hAnsi="Times New Roman"/>
                <w:sz w:val="16"/>
                <w:szCs w:val="16"/>
              </w:rPr>
              <w:t xml:space="preserve">лина </w:t>
            </w:r>
          </w:p>
        </w:tc>
        <w:tc>
          <w:tcPr>
            <w:tcW w:w="416" w:type="pct"/>
            <w:shd w:val="clear" w:color="000000" w:fill="FFFFFF"/>
            <w:vAlign w:val="center"/>
          </w:tcPr>
          <w:p w:rsidR="001046F4" w:rsidRDefault="001046F4" w:rsidP="009974B4">
            <w:pPr>
              <w:jc w:val="center"/>
              <w:rPr>
                <w:rFonts w:ascii="Times New Roman" w:hAnsi="Times New Roman" w:cs="Times New Roman"/>
                <w:sz w:val="16"/>
                <w:szCs w:val="16"/>
              </w:rPr>
            </w:pPr>
            <w:r>
              <w:rPr>
                <w:rFonts w:ascii="Times New Roman" w:hAnsi="Times New Roman" w:cs="Times New Roman"/>
                <w:sz w:val="16"/>
                <w:szCs w:val="16"/>
              </w:rPr>
              <w:t xml:space="preserve">не менее 200 </w:t>
            </w:r>
          </w:p>
        </w:tc>
        <w:tc>
          <w:tcPr>
            <w:tcW w:w="232" w:type="pct"/>
          </w:tcPr>
          <w:p w:rsidR="001046F4" w:rsidRDefault="001046F4" w:rsidP="009974B4">
            <w:pPr>
              <w:pStyle w:val="af7"/>
              <w:jc w:val="center"/>
              <w:rPr>
                <w:rFonts w:ascii="Times New Roman" w:hAnsi="Times New Roman"/>
                <w:color w:val="000000"/>
                <w:sz w:val="16"/>
                <w:szCs w:val="16"/>
              </w:rPr>
            </w:pPr>
          </w:p>
          <w:p w:rsidR="001046F4" w:rsidRPr="00327E72" w:rsidRDefault="001046F4" w:rsidP="009974B4">
            <w:pPr>
              <w:pStyle w:val="af7"/>
              <w:rPr>
                <w:rFonts w:ascii="Times New Roman" w:hAnsi="Times New Roman"/>
                <w:color w:val="000000"/>
                <w:sz w:val="16"/>
                <w:szCs w:val="16"/>
              </w:rPr>
            </w:pPr>
            <w:r>
              <w:rPr>
                <w:rFonts w:ascii="Times New Roman" w:hAnsi="Times New Roman"/>
                <w:color w:val="000000"/>
                <w:sz w:val="16"/>
                <w:szCs w:val="16"/>
              </w:rPr>
              <w:t xml:space="preserve">    мм</w:t>
            </w: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382056">
              <w:rPr>
                <w:rFonts w:ascii="Times New Roman" w:hAnsi="Times New Roman" w:cs="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CE1CE3" w:rsidRDefault="001046F4" w:rsidP="009974B4">
            <w:pPr>
              <w:pStyle w:val="af7"/>
              <w:rPr>
                <w:rFonts w:ascii="Times New Roman" w:hAnsi="Times New Roman"/>
                <w:sz w:val="16"/>
                <w:szCs w:val="16"/>
              </w:rPr>
            </w:pPr>
            <w:r w:rsidRPr="00CE1CE3">
              <w:rPr>
                <w:rFonts w:ascii="Times New Roman" w:hAnsi="Times New Roman"/>
                <w:sz w:val="16"/>
                <w:szCs w:val="16"/>
              </w:rPr>
              <w:t xml:space="preserve">Толщина </w:t>
            </w:r>
          </w:p>
        </w:tc>
        <w:tc>
          <w:tcPr>
            <w:tcW w:w="416" w:type="pct"/>
            <w:shd w:val="clear" w:color="000000" w:fill="FFFFFF"/>
            <w:vAlign w:val="center"/>
          </w:tcPr>
          <w:p w:rsidR="001046F4" w:rsidRPr="00CE1CE3" w:rsidRDefault="001046F4" w:rsidP="009974B4">
            <w:pPr>
              <w:jc w:val="center"/>
              <w:rPr>
                <w:rFonts w:ascii="Times New Roman" w:hAnsi="Times New Roman" w:cs="Times New Roman"/>
                <w:sz w:val="16"/>
                <w:szCs w:val="16"/>
              </w:rPr>
            </w:pPr>
            <w:r w:rsidRPr="00CE1CE3">
              <w:rPr>
                <w:rFonts w:ascii="Times New Roman" w:hAnsi="Times New Roman"/>
                <w:sz w:val="16"/>
                <w:szCs w:val="16"/>
              </w:rPr>
              <w:t xml:space="preserve">не менее </w:t>
            </w:r>
            <w:r>
              <w:rPr>
                <w:rFonts w:ascii="Times New Roman" w:hAnsi="Times New Roman"/>
                <w:sz w:val="16"/>
                <w:szCs w:val="16"/>
              </w:rPr>
              <w:t>22</w:t>
            </w:r>
            <w:r w:rsidRPr="00CE1CE3">
              <w:rPr>
                <w:rFonts w:ascii="Times New Roman" w:hAnsi="Times New Roman"/>
                <w:sz w:val="16"/>
                <w:szCs w:val="16"/>
              </w:rPr>
              <w:t xml:space="preserve"> </w:t>
            </w:r>
          </w:p>
        </w:tc>
        <w:tc>
          <w:tcPr>
            <w:tcW w:w="232" w:type="pct"/>
          </w:tcPr>
          <w:p w:rsidR="001046F4" w:rsidRDefault="001046F4" w:rsidP="009974B4">
            <w:pPr>
              <w:pStyle w:val="af7"/>
              <w:rPr>
                <w:rFonts w:ascii="Times New Roman" w:hAnsi="Times New Roman"/>
                <w:sz w:val="16"/>
                <w:szCs w:val="16"/>
              </w:rPr>
            </w:pPr>
            <w:r>
              <w:rPr>
                <w:rFonts w:ascii="Times New Roman" w:hAnsi="Times New Roman"/>
                <w:sz w:val="16"/>
                <w:szCs w:val="16"/>
              </w:rPr>
              <w:t xml:space="preserve">  </w:t>
            </w:r>
          </w:p>
          <w:p w:rsidR="001046F4" w:rsidRDefault="001046F4" w:rsidP="009974B4">
            <w:pPr>
              <w:pStyle w:val="af7"/>
              <w:rPr>
                <w:rFonts w:ascii="Times New Roman" w:hAnsi="Times New Roman"/>
                <w:sz w:val="16"/>
                <w:szCs w:val="16"/>
              </w:rPr>
            </w:pPr>
            <w:r>
              <w:rPr>
                <w:rFonts w:ascii="Times New Roman" w:hAnsi="Times New Roman"/>
                <w:sz w:val="16"/>
                <w:szCs w:val="16"/>
              </w:rPr>
              <w:t xml:space="preserve">    G</w:t>
            </w:r>
          </w:p>
          <w:p w:rsidR="001046F4" w:rsidRPr="00327E72" w:rsidRDefault="001046F4" w:rsidP="009974B4">
            <w:pPr>
              <w:pStyle w:val="af7"/>
              <w:jc w:val="center"/>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382056">
              <w:rPr>
                <w:rFonts w:ascii="Times New Roman" w:hAnsi="Times New Roman" w:cs="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142FFD" w:rsidRDefault="001046F4" w:rsidP="009974B4">
            <w:pPr>
              <w:rPr>
                <w:rFonts w:ascii="Times New Roman" w:hAnsi="Times New Roman" w:cs="Times New Roman"/>
                <w:b/>
                <w:sz w:val="16"/>
                <w:szCs w:val="16"/>
              </w:rPr>
            </w:pPr>
            <w:r w:rsidRPr="00142FFD">
              <w:rPr>
                <w:rFonts w:ascii="Times New Roman" w:hAnsi="Times New Roman" w:cs="Times New Roman"/>
                <w:b/>
                <w:sz w:val="16"/>
                <w:szCs w:val="16"/>
              </w:rPr>
              <w:t>Харак</w:t>
            </w:r>
            <w:r>
              <w:rPr>
                <w:rFonts w:ascii="Times New Roman" w:hAnsi="Times New Roman" w:cs="Times New Roman"/>
                <w:b/>
                <w:sz w:val="16"/>
                <w:szCs w:val="16"/>
              </w:rPr>
              <w:t>теристики составных частей: маркер</w:t>
            </w:r>
          </w:p>
        </w:tc>
        <w:tc>
          <w:tcPr>
            <w:tcW w:w="277" w:type="pc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142FFD" w:rsidRDefault="001046F4" w:rsidP="009974B4">
            <w:pPr>
              <w:pStyle w:val="af7"/>
              <w:rPr>
                <w:rFonts w:ascii="Times New Roman" w:hAnsi="Times New Roman"/>
                <w:sz w:val="16"/>
                <w:szCs w:val="16"/>
              </w:rPr>
            </w:pPr>
            <w:r w:rsidRPr="00142FFD">
              <w:rPr>
                <w:rFonts w:ascii="Times New Roman" w:hAnsi="Times New Roman"/>
                <w:sz w:val="16"/>
                <w:szCs w:val="16"/>
              </w:rPr>
              <w:t>Материал: золотая проволока</w:t>
            </w:r>
          </w:p>
          <w:p w:rsidR="001046F4" w:rsidRPr="00142FFD" w:rsidRDefault="001046F4" w:rsidP="009974B4">
            <w:pPr>
              <w:pStyle w:val="af7"/>
              <w:rPr>
                <w:rFonts w:ascii="Times New Roman" w:hAnsi="Times New Roman"/>
                <w:sz w:val="16"/>
                <w:szCs w:val="16"/>
              </w:rPr>
            </w:pPr>
            <w:r w:rsidRPr="00142FFD">
              <w:rPr>
                <w:rFonts w:ascii="Times New Roman" w:hAnsi="Times New Roman"/>
                <w:sz w:val="16"/>
                <w:szCs w:val="16"/>
              </w:rPr>
              <w:t xml:space="preserve"> Au 99,99</w:t>
            </w:r>
          </w:p>
        </w:tc>
        <w:tc>
          <w:tcPr>
            <w:tcW w:w="416" w:type="pct"/>
            <w:shd w:val="clear" w:color="000000" w:fill="FFFFFF"/>
            <w:vAlign w:val="center"/>
          </w:tcPr>
          <w:p w:rsidR="001046F4" w:rsidRPr="00142FFD" w:rsidRDefault="001046F4" w:rsidP="009974B4">
            <w:pPr>
              <w:jc w:val="center"/>
              <w:rPr>
                <w:rFonts w:ascii="Times New Roman" w:hAnsi="Times New Roman" w:cs="Times New Roman"/>
                <w:sz w:val="16"/>
                <w:szCs w:val="16"/>
              </w:rPr>
            </w:pPr>
            <w:r w:rsidRPr="00142FFD">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restar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restar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Длина</w:t>
            </w:r>
          </w:p>
        </w:tc>
        <w:tc>
          <w:tcPr>
            <w:tcW w:w="416" w:type="pct"/>
            <w:shd w:val="clear" w:color="000000" w:fill="FFFFFF"/>
            <w:vAlign w:val="center"/>
          </w:tcPr>
          <w:p w:rsidR="001046F4" w:rsidRDefault="001046F4" w:rsidP="009974B4">
            <w:pPr>
              <w:jc w:val="center"/>
              <w:rPr>
                <w:rFonts w:ascii="Times New Roman" w:hAnsi="Times New Roman"/>
                <w:sz w:val="16"/>
                <w:szCs w:val="16"/>
              </w:rPr>
            </w:pPr>
            <w:r>
              <w:rPr>
                <w:rFonts w:ascii="Times New Roman" w:hAnsi="Times New Roman"/>
                <w:sz w:val="16"/>
                <w:szCs w:val="16"/>
              </w:rPr>
              <w:t>не менее 10</w:t>
            </w:r>
          </w:p>
        </w:tc>
        <w:tc>
          <w:tcPr>
            <w:tcW w:w="232" w:type="pct"/>
          </w:tcPr>
          <w:p w:rsidR="001046F4" w:rsidRDefault="001046F4" w:rsidP="009974B4">
            <w:pPr>
              <w:pStyle w:val="af7"/>
              <w:jc w:val="center"/>
              <w:rPr>
                <w:rFonts w:ascii="Times New Roman" w:hAnsi="Times New Roman"/>
                <w:sz w:val="16"/>
                <w:szCs w:val="16"/>
              </w:rPr>
            </w:pPr>
          </w:p>
          <w:p w:rsidR="001046F4" w:rsidRDefault="001046F4" w:rsidP="009974B4">
            <w:pPr>
              <w:pStyle w:val="af7"/>
              <w:jc w:val="center"/>
              <w:rPr>
                <w:rFonts w:ascii="Times New Roman" w:hAnsi="Times New Roman"/>
                <w:sz w:val="16"/>
                <w:szCs w:val="16"/>
              </w:rPr>
            </w:pPr>
            <w:r>
              <w:rPr>
                <w:rFonts w:ascii="Times New Roman" w:hAnsi="Times New Roman"/>
                <w:sz w:val="16"/>
                <w:szCs w:val="16"/>
              </w:rPr>
              <w:t>мм</w:t>
            </w:r>
          </w:p>
        </w:tc>
        <w:tc>
          <w:tcPr>
            <w:tcW w:w="739" w:type="pct"/>
            <w:shd w:val="clear" w:color="000000" w:fill="FFFFFF"/>
            <w:vAlign w:val="center"/>
          </w:tcPr>
          <w:p w:rsidR="001046F4" w:rsidRPr="00382056" w:rsidRDefault="001046F4" w:rsidP="009974B4">
            <w:pPr>
              <w:jc w:val="center"/>
              <w:rPr>
                <w:rFonts w:ascii="Times New Roman" w:hAnsi="Times New Roman" w:cs="Times New Roman"/>
                <w:sz w:val="16"/>
                <w:szCs w:val="16"/>
              </w:rPr>
            </w:pPr>
            <w:r w:rsidRPr="00747AAF">
              <w:rPr>
                <w:rFonts w:ascii="Times New Roman" w:hAnsi="Times New Roman" w:cs="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Pr="00747AAF" w:rsidRDefault="001046F4" w:rsidP="009974B4">
            <w:pPr>
              <w:pStyle w:val="af7"/>
              <w:rPr>
                <w:rFonts w:ascii="Times New Roman" w:hAnsi="Times New Roman"/>
                <w:sz w:val="16"/>
                <w:szCs w:val="16"/>
              </w:rPr>
            </w:pPr>
            <w:r w:rsidRPr="00747AAF">
              <w:rPr>
                <w:rFonts w:ascii="Times New Roman" w:hAnsi="Times New Roman"/>
                <w:sz w:val="16"/>
                <w:szCs w:val="16"/>
              </w:rPr>
              <w:t xml:space="preserve">Диаметр </w:t>
            </w:r>
          </w:p>
        </w:tc>
        <w:tc>
          <w:tcPr>
            <w:tcW w:w="416" w:type="pct"/>
            <w:shd w:val="clear" w:color="000000" w:fill="FFFFFF"/>
            <w:vAlign w:val="center"/>
          </w:tcPr>
          <w:p w:rsidR="001046F4" w:rsidRDefault="001046F4" w:rsidP="009974B4">
            <w:pPr>
              <w:jc w:val="center"/>
              <w:rPr>
                <w:rFonts w:ascii="Times New Roman" w:hAnsi="Times New Roman"/>
                <w:sz w:val="16"/>
                <w:szCs w:val="16"/>
              </w:rPr>
            </w:pPr>
            <w:r>
              <w:rPr>
                <w:rFonts w:ascii="Times New Roman" w:hAnsi="Times New Roman"/>
                <w:sz w:val="16"/>
                <w:szCs w:val="16"/>
              </w:rPr>
              <w:t xml:space="preserve">не менее 0,28 </w:t>
            </w:r>
          </w:p>
        </w:tc>
        <w:tc>
          <w:tcPr>
            <w:tcW w:w="232" w:type="pct"/>
            <w:shd w:val="clear" w:color="000000" w:fill="FFFFFF"/>
          </w:tcPr>
          <w:p w:rsidR="001046F4" w:rsidRDefault="001046F4" w:rsidP="009974B4">
            <w:pPr>
              <w:pStyle w:val="af7"/>
              <w:jc w:val="center"/>
              <w:rPr>
                <w:rFonts w:ascii="Times New Roman" w:hAnsi="Times New Roman"/>
                <w:sz w:val="16"/>
                <w:szCs w:val="16"/>
              </w:rPr>
            </w:pPr>
          </w:p>
          <w:p w:rsidR="001046F4" w:rsidRDefault="001046F4" w:rsidP="009974B4">
            <w:pPr>
              <w:pStyle w:val="af7"/>
              <w:rPr>
                <w:rFonts w:ascii="Times New Roman" w:hAnsi="Times New Roman"/>
                <w:sz w:val="16"/>
                <w:szCs w:val="16"/>
              </w:rPr>
            </w:pPr>
            <w:r>
              <w:rPr>
                <w:rFonts w:ascii="Times New Roman" w:hAnsi="Times New Roman"/>
                <w:sz w:val="16"/>
                <w:szCs w:val="16"/>
              </w:rPr>
              <w:t xml:space="preserve">    мм</w:t>
            </w:r>
          </w:p>
        </w:tc>
        <w:tc>
          <w:tcPr>
            <w:tcW w:w="739" w:type="pct"/>
            <w:shd w:val="clear" w:color="000000" w:fill="FFFFFF"/>
            <w:vAlign w:val="center"/>
          </w:tcPr>
          <w:p w:rsidR="001046F4" w:rsidRDefault="001046F4" w:rsidP="009974B4">
            <w:pPr>
              <w:jc w:val="center"/>
              <w:rPr>
                <w:rFonts w:ascii="Times New Roman" w:hAnsi="Times New Roman"/>
                <w:sz w:val="16"/>
                <w:szCs w:val="16"/>
              </w:rPr>
            </w:pPr>
            <w:r w:rsidRPr="00747AAF">
              <w:rPr>
                <w:rFonts w:ascii="Times New Roman" w:hAnsi="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Ф</w:t>
            </w:r>
            <w:r w:rsidRPr="00747AAF">
              <w:rPr>
                <w:rFonts w:ascii="Times New Roman" w:hAnsi="Times New Roman"/>
                <w:sz w:val="16"/>
                <w:szCs w:val="16"/>
              </w:rPr>
              <w:t>орма - звенья, соединенные между собой перемычками</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Р</w:t>
            </w:r>
            <w:r w:rsidRPr="00747AAF">
              <w:rPr>
                <w:rFonts w:ascii="Times New Roman" w:hAnsi="Times New Roman"/>
                <w:sz w:val="16"/>
                <w:szCs w:val="16"/>
              </w:rPr>
              <w:t>асстояние между перемычками</w:t>
            </w:r>
          </w:p>
        </w:tc>
        <w:tc>
          <w:tcPr>
            <w:tcW w:w="416" w:type="pct"/>
            <w:shd w:val="clear" w:color="000000" w:fill="FFFFFF"/>
            <w:vAlign w:val="center"/>
          </w:tcPr>
          <w:p w:rsidR="001046F4" w:rsidRDefault="001046F4" w:rsidP="009974B4">
            <w:pPr>
              <w:jc w:val="center"/>
              <w:rPr>
                <w:rFonts w:ascii="Times New Roman" w:hAnsi="Times New Roman"/>
                <w:sz w:val="16"/>
                <w:szCs w:val="16"/>
              </w:rPr>
            </w:pPr>
            <w:r>
              <w:rPr>
                <w:rFonts w:ascii="Times New Roman" w:hAnsi="Times New Roman"/>
                <w:sz w:val="16"/>
                <w:szCs w:val="16"/>
              </w:rPr>
              <w:t xml:space="preserve">не менее 1,5 </w:t>
            </w:r>
          </w:p>
        </w:tc>
        <w:tc>
          <w:tcPr>
            <w:tcW w:w="232" w:type="pct"/>
            <w:shd w:val="clear" w:color="000000" w:fill="FFFFFF"/>
          </w:tcPr>
          <w:p w:rsidR="001046F4" w:rsidRDefault="001046F4" w:rsidP="009974B4">
            <w:pPr>
              <w:pStyle w:val="af7"/>
              <w:jc w:val="center"/>
              <w:rPr>
                <w:rFonts w:ascii="Times New Roman" w:hAnsi="Times New Roman"/>
                <w:sz w:val="16"/>
                <w:szCs w:val="16"/>
              </w:rPr>
            </w:pPr>
          </w:p>
          <w:p w:rsidR="001046F4" w:rsidRDefault="001046F4" w:rsidP="009974B4">
            <w:pPr>
              <w:pStyle w:val="af7"/>
              <w:jc w:val="center"/>
              <w:rPr>
                <w:rFonts w:ascii="Times New Roman" w:hAnsi="Times New Roman"/>
                <w:sz w:val="16"/>
                <w:szCs w:val="16"/>
              </w:rPr>
            </w:pPr>
          </w:p>
          <w:p w:rsidR="001046F4" w:rsidRDefault="001046F4" w:rsidP="009974B4">
            <w:pPr>
              <w:pStyle w:val="af7"/>
              <w:jc w:val="center"/>
              <w:rPr>
                <w:rFonts w:ascii="Times New Roman" w:hAnsi="Times New Roman"/>
                <w:sz w:val="16"/>
                <w:szCs w:val="16"/>
              </w:rPr>
            </w:pPr>
            <w:r>
              <w:rPr>
                <w:rFonts w:ascii="Times New Roman" w:hAnsi="Times New Roman"/>
                <w:sz w:val="16"/>
                <w:szCs w:val="16"/>
              </w:rPr>
              <w:t>мм</w:t>
            </w:r>
          </w:p>
        </w:tc>
        <w:tc>
          <w:tcPr>
            <w:tcW w:w="739" w:type="pct"/>
            <w:shd w:val="clear" w:color="000000" w:fill="FFFFFF"/>
            <w:vAlign w:val="center"/>
          </w:tcPr>
          <w:p w:rsidR="001046F4" w:rsidRDefault="001046F4" w:rsidP="009974B4">
            <w:pPr>
              <w:jc w:val="center"/>
              <w:rPr>
                <w:rFonts w:ascii="Times New Roman" w:hAnsi="Times New Roman"/>
                <w:sz w:val="16"/>
                <w:szCs w:val="16"/>
              </w:rPr>
            </w:pPr>
            <w:r w:rsidRPr="00747AAF">
              <w:rPr>
                <w:rFonts w:ascii="Times New Roman" w:hAnsi="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Д</w:t>
            </w:r>
            <w:r w:rsidRPr="00747AAF">
              <w:rPr>
                <w:rFonts w:ascii="Times New Roman" w:hAnsi="Times New Roman"/>
                <w:sz w:val="16"/>
                <w:szCs w:val="16"/>
              </w:rPr>
              <w:t>лина перемычки</w:t>
            </w:r>
          </w:p>
        </w:tc>
        <w:tc>
          <w:tcPr>
            <w:tcW w:w="416" w:type="pct"/>
            <w:shd w:val="clear" w:color="000000" w:fill="FFFFFF"/>
            <w:vAlign w:val="center"/>
          </w:tcPr>
          <w:p w:rsidR="001046F4" w:rsidRDefault="001046F4" w:rsidP="009974B4">
            <w:pPr>
              <w:jc w:val="center"/>
              <w:rPr>
                <w:rFonts w:ascii="Times New Roman" w:hAnsi="Times New Roman"/>
                <w:sz w:val="16"/>
                <w:szCs w:val="16"/>
              </w:rPr>
            </w:pPr>
            <w:r>
              <w:rPr>
                <w:rFonts w:ascii="Times New Roman" w:hAnsi="Times New Roman"/>
                <w:sz w:val="16"/>
                <w:szCs w:val="16"/>
              </w:rPr>
              <w:t xml:space="preserve">не менее 0,5 </w:t>
            </w:r>
          </w:p>
        </w:tc>
        <w:tc>
          <w:tcPr>
            <w:tcW w:w="232" w:type="pct"/>
            <w:shd w:val="clear" w:color="000000" w:fill="FFFFFF"/>
          </w:tcPr>
          <w:p w:rsidR="001046F4" w:rsidRDefault="001046F4" w:rsidP="009974B4">
            <w:pPr>
              <w:pStyle w:val="af7"/>
              <w:jc w:val="center"/>
              <w:rPr>
                <w:rFonts w:ascii="Times New Roman" w:hAnsi="Times New Roman"/>
                <w:sz w:val="16"/>
                <w:szCs w:val="16"/>
              </w:rPr>
            </w:pPr>
          </w:p>
          <w:p w:rsidR="001046F4" w:rsidRDefault="001046F4" w:rsidP="009974B4">
            <w:pPr>
              <w:pStyle w:val="af7"/>
              <w:jc w:val="center"/>
              <w:rPr>
                <w:rFonts w:ascii="Times New Roman" w:hAnsi="Times New Roman"/>
                <w:sz w:val="16"/>
                <w:szCs w:val="16"/>
              </w:rPr>
            </w:pPr>
            <w:r>
              <w:rPr>
                <w:rFonts w:ascii="Times New Roman" w:hAnsi="Times New Roman"/>
                <w:sz w:val="16"/>
                <w:szCs w:val="16"/>
              </w:rPr>
              <w:t>мм</w:t>
            </w:r>
          </w:p>
        </w:tc>
        <w:tc>
          <w:tcPr>
            <w:tcW w:w="739" w:type="pct"/>
            <w:shd w:val="clear" w:color="000000" w:fill="FFFFFF"/>
            <w:vAlign w:val="center"/>
          </w:tcPr>
          <w:p w:rsidR="001046F4" w:rsidRDefault="001046F4" w:rsidP="009974B4">
            <w:pPr>
              <w:jc w:val="center"/>
              <w:rPr>
                <w:rFonts w:ascii="Times New Roman" w:hAnsi="Times New Roman"/>
                <w:sz w:val="16"/>
                <w:szCs w:val="16"/>
              </w:rPr>
            </w:pPr>
            <w:r w:rsidRPr="00747AAF">
              <w:rPr>
                <w:rFonts w:ascii="Times New Roman" w:hAnsi="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Д</w:t>
            </w:r>
            <w:r w:rsidRPr="00747AAF">
              <w:rPr>
                <w:rFonts w:ascii="Times New Roman" w:hAnsi="Times New Roman"/>
                <w:sz w:val="16"/>
                <w:szCs w:val="16"/>
              </w:rPr>
              <w:t>иаметр перемычки</w:t>
            </w:r>
          </w:p>
        </w:tc>
        <w:tc>
          <w:tcPr>
            <w:tcW w:w="416" w:type="pct"/>
            <w:shd w:val="clear" w:color="000000" w:fill="FFFFFF"/>
            <w:vAlign w:val="center"/>
          </w:tcPr>
          <w:p w:rsidR="001046F4" w:rsidRDefault="001046F4" w:rsidP="009974B4">
            <w:pPr>
              <w:jc w:val="center"/>
              <w:rPr>
                <w:rFonts w:ascii="Times New Roman" w:hAnsi="Times New Roman"/>
                <w:sz w:val="16"/>
                <w:szCs w:val="16"/>
              </w:rPr>
            </w:pPr>
            <w:r>
              <w:rPr>
                <w:rFonts w:ascii="Times New Roman" w:hAnsi="Times New Roman"/>
                <w:sz w:val="16"/>
                <w:szCs w:val="16"/>
              </w:rPr>
              <w:t>не менее 0,1</w:t>
            </w:r>
          </w:p>
        </w:tc>
        <w:tc>
          <w:tcPr>
            <w:tcW w:w="232" w:type="pct"/>
            <w:shd w:val="clear" w:color="000000" w:fill="FFFFFF"/>
          </w:tcPr>
          <w:p w:rsidR="001046F4" w:rsidRDefault="001046F4" w:rsidP="009974B4">
            <w:pPr>
              <w:pStyle w:val="af7"/>
              <w:jc w:val="center"/>
              <w:rPr>
                <w:rFonts w:ascii="Times New Roman" w:hAnsi="Times New Roman"/>
                <w:sz w:val="16"/>
                <w:szCs w:val="16"/>
              </w:rPr>
            </w:pPr>
          </w:p>
          <w:p w:rsidR="001046F4" w:rsidRDefault="001046F4" w:rsidP="009974B4">
            <w:pPr>
              <w:pStyle w:val="af7"/>
              <w:rPr>
                <w:rFonts w:ascii="Times New Roman" w:hAnsi="Times New Roman"/>
                <w:sz w:val="16"/>
                <w:szCs w:val="16"/>
              </w:rPr>
            </w:pPr>
            <w:r>
              <w:rPr>
                <w:rFonts w:ascii="Times New Roman" w:hAnsi="Times New Roman"/>
                <w:sz w:val="16"/>
                <w:szCs w:val="16"/>
              </w:rPr>
              <w:t xml:space="preserve">    мм</w:t>
            </w:r>
          </w:p>
        </w:tc>
        <w:tc>
          <w:tcPr>
            <w:tcW w:w="739" w:type="pct"/>
            <w:shd w:val="clear" w:color="000000" w:fill="FFFFFF"/>
            <w:vAlign w:val="center"/>
          </w:tcPr>
          <w:p w:rsidR="001046F4" w:rsidRDefault="001046F4" w:rsidP="009974B4">
            <w:pPr>
              <w:jc w:val="center"/>
              <w:rPr>
                <w:rFonts w:ascii="Times New Roman" w:hAnsi="Times New Roman"/>
                <w:sz w:val="16"/>
                <w:szCs w:val="16"/>
              </w:rPr>
            </w:pPr>
            <w:r w:rsidRPr="00747AAF">
              <w:rPr>
                <w:rFonts w:ascii="Times New Roman" w:hAnsi="Times New Roman"/>
                <w:sz w:val="16"/>
                <w:szCs w:val="16"/>
              </w:rPr>
              <w:t>Участник закупки указывает в заявке конкретное значение характеристики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747AAF" w:rsidRDefault="001046F4" w:rsidP="009974B4">
            <w:pPr>
              <w:rPr>
                <w:rFonts w:ascii="Times New Roman" w:hAnsi="Times New Roman"/>
                <w:sz w:val="16"/>
                <w:szCs w:val="16"/>
              </w:rPr>
            </w:pPr>
            <w:r w:rsidRPr="00142FFD">
              <w:rPr>
                <w:rFonts w:ascii="Times New Roman" w:hAnsi="Times New Roman" w:cs="Times New Roman"/>
                <w:b/>
                <w:sz w:val="16"/>
                <w:szCs w:val="16"/>
              </w:rPr>
              <w:t>Харак</w:t>
            </w:r>
            <w:r>
              <w:rPr>
                <w:rFonts w:ascii="Times New Roman" w:hAnsi="Times New Roman" w:cs="Times New Roman"/>
                <w:b/>
                <w:sz w:val="16"/>
                <w:szCs w:val="16"/>
              </w:rPr>
              <w:t>теристики составных частей: н</w:t>
            </w:r>
            <w:r w:rsidRPr="00865E73">
              <w:rPr>
                <w:rFonts w:ascii="Times New Roman" w:hAnsi="Times New Roman" w:cs="Times New Roman"/>
                <w:b/>
                <w:sz w:val="16"/>
                <w:szCs w:val="16"/>
              </w:rPr>
              <w:t>аконечник Люера</w:t>
            </w:r>
          </w:p>
        </w:tc>
        <w:tc>
          <w:tcPr>
            <w:tcW w:w="277" w:type="pc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 xml:space="preserve">Материал: </w:t>
            </w:r>
            <w:r w:rsidRPr="00CA22D7">
              <w:rPr>
                <w:rFonts w:ascii="Times New Roman" w:hAnsi="Times New Roman"/>
                <w:sz w:val="16"/>
                <w:szCs w:val="16"/>
              </w:rPr>
              <w:t>поликарбонат</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restar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restart"/>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val="restart"/>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5B0E53" w:rsidRDefault="001046F4" w:rsidP="009974B4">
            <w:pPr>
              <w:rPr>
                <w:rFonts w:ascii="Times New Roman" w:hAnsi="Times New Roman" w:cs="Times New Roman"/>
                <w:sz w:val="16"/>
                <w:szCs w:val="16"/>
              </w:rPr>
            </w:pPr>
            <w:r w:rsidRPr="00142FFD">
              <w:rPr>
                <w:rFonts w:ascii="Times New Roman" w:hAnsi="Times New Roman" w:cs="Times New Roman"/>
                <w:b/>
                <w:sz w:val="16"/>
                <w:szCs w:val="16"/>
              </w:rPr>
              <w:t>Харак</w:t>
            </w:r>
            <w:r>
              <w:rPr>
                <w:rFonts w:ascii="Times New Roman" w:hAnsi="Times New Roman" w:cs="Times New Roman"/>
                <w:b/>
                <w:sz w:val="16"/>
                <w:szCs w:val="16"/>
              </w:rPr>
              <w:t>теристики составных частей: з</w:t>
            </w:r>
            <w:r w:rsidRPr="00952010">
              <w:rPr>
                <w:rFonts w:ascii="Times New Roman" w:hAnsi="Times New Roman" w:cs="Times New Roman"/>
                <w:b/>
                <w:sz w:val="16"/>
                <w:szCs w:val="16"/>
              </w:rPr>
              <w:t>ащитная трубка</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 xml:space="preserve">Материал: </w:t>
            </w:r>
            <w:r w:rsidRPr="00952010">
              <w:rPr>
                <w:rFonts w:ascii="Times New Roman" w:hAnsi="Times New Roman"/>
                <w:sz w:val="16"/>
                <w:szCs w:val="16"/>
              </w:rPr>
              <w:t>полиэтилен низкой</w:t>
            </w:r>
            <w:r>
              <w:rPr>
                <w:rFonts w:ascii="Times New Roman" w:hAnsi="Times New Roman"/>
                <w:sz w:val="16"/>
                <w:szCs w:val="16"/>
              </w:rPr>
              <w:t xml:space="preserve"> плотности (высокого давления)</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952010" w:rsidRDefault="001046F4" w:rsidP="009974B4">
            <w:pPr>
              <w:rPr>
                <w:rFonts w:ascii="Times New Roman" w:hAnsi="Times New Roman" w:cs="Times New Roman"/>
                <w:b/>
                <w:sz w:val="16"/>
                <w:szCs w:val="16"/>
              </w:rPr>
            </w:pPr>
            <w:r w:rsidRPr="00952010">
              <w:rPr>
                <w:rFonts w:ascii="Times New Roman" w:hAnsi="Times New Roman" w:cs="Times New Roman"/>
                <w:b/>
                <w:sz w:val="16"/>
                <w:szCs w:val="16"/>
              </w:rPr>
              <w:t xml:space="preserve">Характеристики составных частей: </w:t>
            </w:r>
            <w:r>
              <w:rPr>
                <w:rFonts w:ascii="Times New Roman" w:hAnsi="Times New Roman" w:cs="Times New Roman"/>
                <w:b/>
                <w:sz w:val="16"/>
                <w:szCs w:val="16"/>
              </w:rPr>
              <w:t>о</w:t>
            </w:r>
            <w:r w:rsidRPr="00952010">
              <w:rPr>
                <w:rFonts w:ascii="Times New Roman" w:hAnsi="Times New Roman" w:cs="Times New Roman"/>
                <w:b/>
                <w:sz w:val="16"/>
                <w:szCs w:val="16"/>
              </w:rPr>
              <w:t>граничитель маркера</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 xml:space="preserve">Материал: </w:t>
            </w:r>
            <w:r w:rsidRPr="00952010">
              <w:rPr>
                <w:rFonts w:ascii="Times New Roman" w:hAnsi="Times New Roman"/>
                <w:sz w:val="16"/>
                <w:szCs w:val="16"/>
              </w:rPr>
              <w:t>поликарбонат</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475" w:type="pct"/>
            <w:gridSpan w:val="4"/>
            <w:shd w:val="clear" w:color="000000" w:fill="FFFFFF"/>
            <w:vAlign w:val="center"/>
          </w:tcPr>
          <w:p w:rsidR="001046F4" w:rsidRPr="00952010" w:rsidRDefault="001046F4" w:rsidP="009974B4">
            <w:pPr>
              <w:rPr>
                <w:rFonts w:ascii="Times New Roman" w:hAnsi="Times New Roman" w:cs="Times New Roman"/>
                <w:b/>
                <w:sz w:val="16"/>
                <w:szCs w:val="16"/>
              </w:rPr>
            </w:pPr>
            <w:r w:rsidRPr="00952010">
              <w:rPr>
                <w:rFonts w:ascii="Times New Roman" w:hAnsi="Times New Roman" w:cs="Times New Roman"/>
                <w:b/>
                <w:sz w:val="16"/>
                <w:szCs w:val="16"/>
              </w:rPr>
              <w:t xml:space="preserve">Характеристики составных частей: </w:t>
            </w:r>
            <w:r>
              <w:rPr>
                <w:rFonts w:ascii="Times New Roman" w:hAnsi="Times New Roman" w:cs="Times New Roman"/>
                <w:b/>
                <w:sz w:val="16"/>
                <w:szCs w:val="16"/>
              </w:rPr>
              <w:t>м</w:t>
            </w:r>
            <w:r w:rsidRPr="00952010">
              <w:rPr>
                <w:rFonts w:ascii="Times New Roman" w:hAnsi="Times New Roman" w:cs="Times New Roman"/>
                <w:b/>
                <w:sz w:val="16"/>
                <w:szCs w:val="16"/>
              </w:rPr>
              <w:t>андрен</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Pr>
                <w:rFonts w:ascii="Times New Roman" w:hAnsi="Times New Roman"/>
                <w:sz w:val="16"/>
                <w:szCs w:val="16"/>
              </w:rPr>
              <w:t xml:space="preserve">Материал: </w:t>
            </w:r>
            <w:r w:rsidRPr="00952010">
              <w:rPr>
                <w:rFonts w:ascii="Times New Roman" w:hAnsi="Times New Roman"/>
                <w:sz w:val="16"/>
                <w:szCs w:val="16"/>
              </w:rPr>
              <w:t>нержавеющая сталь</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64"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1088" w:type="pct"/>
            <w:shd w:val="clear" w:color="000000" w:fill="FFFFFF"/>
            <w:vAlign w:val="center"/>
          </w:tcPr>
          <w:p w:rsidR="001046F4" w:rsidRDefault="001046F4" w:rsidP="009974B4">
            <w:pPr>
              <w:pStyle w:val="af7"/>
              <w:rPr>
                <w:rFonts w:ascii="Times New Roman" w:hAnsi="Times New Roman"/>
                <w:sz w:val="16"/>
                <w:szCs w:val="16"/>
              </w:rPr>
            </w:pPr>
            <w:r w:rsidRPr="00952010">
              <w:rPr>
                <w:rFonts w:ascii="Times New Roman" w:hAnsi="Times New Roman"/>
                <w:sz w:val="16"/>
                <w:szCs w:val="16"/>
              </w:rPr>
              <w:t>Комплект одноразовый, стерильный</w:t>
            </w:r>
          </w:p>
        </w:tc>
        <w:tc>
          <w:tcPr>
            <w:tcW w:w="416" w:type="pct"/>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Pr>
          <w:p w:rsidR="001046F4" w:rsidRPr="00327E72" w:rsidRDefault="001046F4" w:rsidP="009974B4">
            <w:pPr>
              <w:pStyle w:val="af7"/>
              <w:rPr>
                <w:rFonts w:ascii="Times New Roman" w:hAnsi="Times New Roman"/>
                <w:color w:val="000000"/>
                <w:sz w:val="16"/>
                <w:szCs w:val="16"/>
              </w:rPr>
            </w:pPr>
          </w:p>
        </w:tc>
        <w:tc>
          <w:tcPr>
            <w:tcW w:w="739" w:type="pct"/>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2" w:type="pct"/>
            <w:vMerge/>
            <w:vAlign w:val="center"/>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7"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31"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325"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c>
          <w:tcPr>
            <w:tcW w:w="273" w:type="pct"/>
            <w:vMerge/>
          </w:tcPr>
          <w:p w:rsidR="001046F4" w:rsidRPr="00155D15" w:rsidRDefault="001046F4" w:rsidP="009974B4">
            <w:pPr>
              <w:spacing w:after="0" w:line="240" w:lineRule="auto"/>
              <w:rPr>
                <w:rFonts w:ascii="Times New Roman" w:eastAsia="Times New Roman" w:hAnsi="Times New Roman" w:cs="Times New Roman"/>
                <w:color w:val="000000"/>
                <w:sz w:val="18"/>
                <w:szCs w:val="18"/>
                <w:lang w:eastAsia="ru-RU"/>
              </w:rPr>
            </w:pPr>
          </w:p>
        </w:tc>
      </w:tr>
      <w:tr w:rsidR="001046F4" w:rsidRPr="00155D15" w:rsidTr="009974B4">
        <w:trPr>
          <w:trHeight w:val="499"/>
        </w:trPr>
        <w:tc>
          <w:tcPr>
            <w:tcW w:w="455" w:type="pct"/>
            <w:vMerge/>
            <w:tcBorders>
              <w:bottom w:val="single" w:sz="4" w:space="0" w:color="auto"/>
            </w:tcBorders>
            <w:vAlign w:val="center"/>
          </w:tcPr>
          <w:p w:rsidR="001046F4" w:rsidRPr="00253DCE" w:rsidRDefault="001046F4" w:rsidP="009974B4">
            <w:pPr>
              <w:spacing w:after="0" w:line="240" w:lineRule="auto"/>
              <w:jc w:val="center"/>
              <w:rPr>
                <w:rFonts w:ascii="Times New Roman" w:eastAsia="Times New Roman" w:hAnsi="Times New Roman" w:cs="Times New Roman"/>
                <w:b/>
                <w:color w:val="000000"/>
                <w:sz w:val="18"/>
                <w:szCs w:val="18"/>
                <w:lang w:eastAsia="ru-RU"/>
              </w:rPr>
            </w:pPr>
          </w:p>
        </w:tc>
        <w:tc>
          <w:tcPr>
            <w:tcW w:w="364" w:type="pct"/>
            <w:vMerge/>
            <w:tcBorders>
              <w:bottom w:val="single" w:sz="4" w:space="0" w:color="auto"/>
            </w:tcBorders>
            <w:vAlign w:val="center"/>
          </w:tcPr>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c>
          <w:tcPr>
            <w:tcW w:w="1088" w:type="pct"/>
            <w:tcBorders>
              <w:bottom w:val="single" w:sz="4" w:space="0" w:color="auto"/>
            </w:tcBorders>
            <w:shd w:val="clear" w:color="000000" w:fill="FFFFFF"/>
            <w:vAlign w:val="center"/>
          </w:tcPr>
          <w:p w:rsidR="001046F4" w:rsidRPr="00A41584" w:rsidRDefault="001046F4" w:rsidP="009974B4">
            <w:pPr>
              <w:rPr>
                <w:rFonts w:ascii="Times New Roman" w:hAnsi="Times New Roman" w:cs="Times New Roman"/>
                <w:sz w:val="16"/>
                <w:szCs w:val="16"/>
              </w:rPr>
            </w:pPr>
            <w:r>
              <w:rPr>
                <w:rFonts w:ascii="Times New Roman" w:hAnsi="Times New Roman" w:cs="Times New Roman"/>
                <w:sz w:val="16"/>
                <w:szCs w:val="16"/>
              </w:rPr>
              <w:t xml:space="preserve">Стерилизация: </w:t>
            </w:r>
            <w:r w:rsidRPr="00C84F8F">
              <w:rPr>
                <w:rFonts w:ascii="Times New Roman" w:hAnsi="Times New Roman" w:cs="Times New Roman"/>
                <w:sz w:val="16"/>
                <w:szCs w:val="16"/>
              </w:rPr>
              <w:t>радиационная</w:t>
            </w:r>
          </w:p>
        </w:tc>
        <w:tc>
          <w:tcPr>
            <w:tcW w:w="416" w:type="pct"/>
            <w:tcBorders>
              <w:bottom w:val="single" w:sz="4" w:space="0" w:color="auto"/>
            </w:tcBorders>
            <w:shd w:val="clear" w:color="000000" w:fill="FFFFFF"/>
            <w:vAlign w:val="center"/>
          </w:tcPr>
          <w:p w:rsidR="001046F4" w:rsidRPr="00A41584" w:rsidRDefault="001046F4" w:rsidP="009974B4">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232" w:type="pct"/>
            <w:tcBorders>
              <w:bottom w:val="single" w:sz="4" w:space="0" w:color="auto"/>
            </w:tcBorders>
          </w:tcPr>
          <w:p w:rsidR="001046F4" w:rsidRPr="00327E72" w:rsidRDefault="001046F4" w:rsidP="009974B4">
            <w:pPr>
              <w:pStyle w:val="af7"/>
              <w:rPr>
                <w:rFonts w:ascii="Times New Roman" w:hAnsi="Times New Roman"/>
                <w:color w:val="000000"/>
                <w:sz w:val="16"/>
                <w:szCs w:val="16"/>
              </w:rPr>
            </w:pPr>
          </w:p>
        </w:tc>
        <w:tc>
          <w:tcPr>
            <w:tcW w:w="739" w:type="pct"/>
            <w:tcBorders>
              <w:bottom w:val="single" w:sz="4" w:space="0" w:color="auto"/>
            </w:tcBorders>
            <w:shd w:val="clear" w:color="000000" w:fill="FFFFFF"/>
            <w:vAlign w:val="center"/>
          </w:tcPr>
          <w:p w:rsidR="001046F4" w:rsidRPr="005B0E53" w:rsidRDefault="001046F4" w:rsidP="009974B4">
            <w:pPr>
              <w:jc w:val="center"/>
              <w:rPr>
                <w:rFonts w:ascii="Times New Roman" w:hAnsi="Times New Roman" w:cs="Times New Roman"/>
                <w:sz w:val="16"/>
                <w:szCs w:val="16"/>
              </w:rPr>
            </w:pPr>
            <w:r w:rsidRPr="005B0E53">
              <w:rPr>
                <w:rFonts w:ascii="Times New Roman" w:hAnsi="Times New Roman" w:cs="Times New Roman"/>
                <w:sz w:val="16"/>
                <w:szCs w:val="16"/>
              </w:rPr>
              <w:t>Значение характеристики не может изменяться участником закупки</w:t>
            </w:r>
          </w:p>
        </w:tc>
        <w:tc>
          <w:tcPr>
            <w:tcW w:w="277" w:type="pct"/>
            <w:vMerge/>
            <w:tcBorders>
              <w:bottom w:val="single" w:sz="4" w:space="0" w:color="auto"/>
            </w:tcBorders>
            <w:vAlign w:val="center"/>
          </w:tcPr>
          <w:p w:rsidR="001046F4" w:rsidRPr="00253DCE" w:rsidRDefault="001046F4" w:rsidP="009974B4">
            <w:pPr>
              <w:spacing w:after="0" w:line="240" w:lineRule="auto"/>
              <w:jc w:val="center"/>
              <w:rPr>
                <w:rFonts w:ascii="Times New Roman" w:eastAsia="Times New Roman" w:hAnsi="Times New Roman" w:cs="Times New Roman"/>
                <w:b/>
                <w:color w:val="000000"/>
                <w:sz w:val="18"/>
                <w:szCs w:val="18"/>
                <w:lang w:eastAsia="ru-RU"/>
              </w:rPr>
            </w:pPr>
          </w:p>
        </w:tc>
        <w:tc>
          <w:tcPr>
            <w:tcW w:w="322" w:type="pct"/>
            <w:vMerge/>
            <w:tcBorders>
              <w:bottom w:val="single" w:sz="4" w:space="0" w:color="auto"/>
            </w:tcBorders>
            <w:vAlign w:val="center"/>
          </w:tcPr>
          <w:p w:rsidR="001046F4" w:rsidRPr="00253DCE" w:rsidRDefault="001046F4" w:rsidP="009974B4">
            <w:pPr>
              <w:spacing w:after="0" w:line="240" w:lineRule="auto"/>
              <w:jc w:val="center"/>
              <w:rPr>
                <w:rFonts w:ascii="Times New Roman" w:eastAsia="Times New Roman" w:hAnsi="Times New Roman" w:cs="Times New Roman"/>
                <w:b/>
                <w:color w:val="000000"/>
                <w:sz w:val="18"/>
                <w:szCs w:val="18"/>
                <w:lang w:eastAsia="ru-RU"/>
              </w:rPr>
            </w:pPr>
          </w:p>
        </w:tc>
        <w:tc>
          <w:tcPr>
            <w:tcW w:w="277" w:type="pct"/>
            <w:vMerge/>
            <w:tcBorders>
              <w:bottom w:val="single" w:sz="4" w:space="0" w:color="auto"/>
            </w:tcBorders>
          </w:tcPr>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c>
          <w:tcPr>
            <w:tcW w:w="231" w:type="pct"/>
            <w:vMerge/>
            <w:tcBorders>
              <w:bottom w:val="single" w:sz="4" w:space="0" w:color="auto"/>
            </w:tcBorders>
          </w:tcPr>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c>
          <w:tcPr>
            <w:tcW w:w="325" w:type="pct"/>
            <w:vMerge/>
            <w:tcBorders>
              <w:bottom w:val="single" w:sz="4" w:space="0" w:color="auto"/>
            </w:tcBorders>
          </w:tcPr>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c>
          <w:tcPr>
            <w:tcW w:w="273" w:type="pct"/>
            <w:vMerge/>
            <w:tcBorders>
              <w:bottom w:val="single" w:sz="4" w:space="0" w:color="auto"/>
            </w:tcBorders>
          </w:tcPr>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r>
      <w:tr w:rsidR="001046F4" w:rsidRPr="00155D15" w:rsidTr="009974B4">
        <w:trPr>
          <w:trHeight w:val="1041"/>
        </w:trPr>
        <w:tc>
          <w:tcPr>
            <w:tcW w:w="5000" w:type="pct"/>
            <w:gridSpan w:val="12"/>
            <w:tcBorders>
              <w:left w:val="nil"/>
              <w:bottom w:val="nil"/>
              <w:right w:val="nil"/>
            </w:tcBorders>
            <w:vAlign w:val="center"/>
          </w:tcPr>
          <w:p w:rsidR="001046F4" w:rsidRDefault="001046F4" w:rsidP="009974B4">
            <w:pPr>
              <w:rPr>
                <w:rFonts w:ascii="Times New Roman" w:hAnsi="Times New Roman" w:cs="Times New Roman"/>
                <w:b/>
                <w:i/>
              </w:rPr>
            </w:pPr>
          </w:p>
          <w:p w:rsidR="001046F4" w:rsidRPr="00C84F8F" w:rsidRDefault="001046F4" w:rsidP="009974B4">
            <w:pPr>
              <w:rPr>
                <w:rFonts w:ascii="Times New Roman" w:hAnsi="Times New Roman" w:cs="Times New Roman"/>
                <w:b/>
                <w:i/>
              </w:rPr>
            </w:pPr>
            <w:r>
              <w:rPr>
                <w:rFonts w:ascii="Times New Roman" w:hAnsi="Times New Roman" w:cs="Times New Roman"/>
                <w:b/>
                <w:i/>
              </w:rPr>
              <w:t>*</w:t>
            </w:r>
            <w:r w:rsidRPr="00C84F8F">
              <w:rPr>
                <w:rFonts w:ascii="Times New Roman" w:hAnsi="Times New Roman" w:cs="Times New Roman"/>
                <w:b/>
                <w:i/>
              </w:rPr>
              <w:t xml:space="preserve">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 </w:t>
            </w:r>
          </w:p>
          <w:p w:rsidR="001046F4" w:rsidRPr="00155D15" w:rsidRDefault="001046F4" w:rsidP="009974B4">
            <w:pPr>
              <w:spacing w:after="0" w:line="240" w:lineRule="auto"/>
              <w:jc w:val="center"/>
              <w:rPr>
                <w:rFonts w:ascii="Times New Roman" w:eastAsia="Times New Roman" w:hAnsi="Times New Roman" w:cs="Times New Roman"/>
                <w:color w:val="000000"/>
                <w:sz w:val="18"/>
                <w:szCs w:val="18"/>
                <w:lang w:eastAsia="ru-RU"/>
              </w:rPr>
            </w:pPr>
          </w:p>
        </w:tc>
      </w:tr>
    </w:tbl>
    <w:p w:rsidR="001046F4" w:rsidRDefault="001046F4" w:rsidP="001046F4">
      <w:pPr>
        <w:rPr>
          <w:rFonts w:ascii="Times New Roman" w:hAnsi="Times New Roman" w:cs="Times New Roman"/>
          <w:b/>
          <w:sz w:val="28"/>
          <w:szCs w:val="28"/>
        </w:rPr>
      </w:pPr>
    </w:p>
    <w:p w:rsidR="001046F4" w:rsidRPr="000437D6" w:rsidRDefault="001046F4" w:rsidP="001046F4">
      <w:pPr>
        <w:pStyle w:val="a7"/>
        <w:widowControl w:val="0"/>
        <w:spacing w:after="0"/>
        <w:ind w:left="644"/>
        <w:jc w:val="center"/>
        <w:rPr>
          <w:rFonts w:ascii="Times New Roman" w:eastAsia="Courier New" w:hAnsi="Times New Roman" w:cs="Times New Roman"/>
          <w:b/>
        </w:rPr>
      </w:pPr>
    </w:p>
    <w:p w:rsidR="001046F4" w:rsidRDefault="001046F4" w:rsidP="001046F4">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1046F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A6" w:rsidRDefault="000F0AA6">
      <w:pPr>
        <w:spacing w:after="0" w:line="240" w:lineRule="auto"/>
      </w:pPr>
      <w:r>
        <w:separator/>
      </w:r>
    </w:p>
  </w:endnote>
  <w:endnote w:type="continuationSeparator" w:id="0">
    <w:p w:rsidR="000F0AA6" w:rsidRDefault="000F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200" w:rsidRDefault="0041420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420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1420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420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420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6FD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420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6FD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A6" w:rsidRDefault="000F0AA6">
      <w:pPr>
        <w:spacing w:after="0" w:line="240" w:lineRule="auto"/>
      </w:pPr>
      <w:r>
        <w:separator/>
      </w:r>
    </w:p>
  </w:footnote>
  <w:footnote w:type="continuationSeparator" w:id="0">
    <w:p w:rsidR="000F0AA6" w:rsidRDefault="000F0AA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200" w:rsidRDefault="0041420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200" w:rsidRDefault="0041420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4200" w:rsidRDefault="0041420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0AA6"/>
    <w:rsid w:val="000F411A"/>
    <w:rsid w:val="0010004C"/>
    <w:rsid w:val="001046F4"/>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200"/>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18E0"/>
    <w:rsid w:val="00964265"/>
    <w:rsid w:val="00966FD3"/>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261BC"/>
    <w:rsid w:val="00B32574"/>
    <w:rsid w:val="00B33706"/>
    <w:rsid w:val="00B35BFC"/>
    <w:rsid w:val="00B61169"/>
    <w:rsid w:val="00B664DC"/>
    <w:rsid w:val="00B666D7"/>
    <w:rsid w:val="00B66D35"/>
    <w:rsid w:val="00B67E6D"/>
    <w:rsid w:val="00B77DAE"/>
    <w:rsid w:val="00B8743B"/>
    <w:rsid w:val="00B9601D"/>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AD97-9FDD-44E6-909E-13936234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2026-04-01T06:27:00Z</dcterms:created>
  <dcterms:modified xsi:type="dcterms:W3CDTF">2026-04-01T06:27:00Z</dcterms:modified>
</cp:coreProperties>
</file>