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21.1-03/620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E2F3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51B9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51B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51B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51B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51B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180 (ста восьмидесяти)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51B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В течение 180 (ста восьмидесяти) дней с момента подписания Контракта.
                <w:br/>
                Возможна досрочная поставка партиями
                <w:br/>
              </w:t>
            </w:r>
            <w:r w:rsidRPr="00C15FD9">
              <w:rPr>
                <w:rFonts w:ascii="Times New Roman" w:hAnsi="Times New Roman" w:cs="Times New Roman"/>
                <w:noProof/>
                <w:sz w:val="24"/>
                <w:szCs w:val="24"/>
              </w:rPr>
              <w:t>
                <w:br/>
                Возможна досрочная поставка партиями
              </w: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51B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51B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51B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51B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51B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51B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51B90">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51B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E51B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68" w:type="pct"/>
        <w:tblInd w:w="137" w:type="dxa"/>
        <w:tblLayout w:type="fixed"/>
        <w:tblLook w:val="04A0" w:firstRow="1" w:lastRow="0" w:firstColumn="1" w:lastColumn="0" w:noHBand="0" w:noVBand="1"/>
      </w:tblPr>
      <w:tblGrid>
        <w:gridCol w:w="470"/>
        <w:gridCol w:w="1401"/>
        <w:gridCol w:w="1090"/>
        <w:gridCol w:w="1087"/>
        <w:gridCol w:w="2342"/>
        <w:gridCol w:w="1844"/>
        <w:gridCol w:w="1087"/>
        <w:gridCol w:w="1398"/>
        <w:gridCol w:w="1553"/>
        <w:gridCol w:w="599"/>
        <w:gridCol w:w="849"/>
        <w:gridCol w:w="729"/>
        <w:gridCol w:w="621"/>
        <w:gridCol w:w="776"/>
      </w:tblGrid>
      <w:tr w:rsidR="00E51B90" w:rsidRPr="00AC3F0F" w:rsidTr="000C6ABB">
        <w:trPr>
          <w:trHeight w:val="402"/>
        </w:trPr>
        <w:tc>
          <w:tcPr>
            <w:tcW w:w="1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r w:rsidRPr="00AC3F0F">
              <w:rPr>
                <w:rFonts w:ascii="Times New Roman" w:eastAsia="Times New Roman" w:hAnsi="Times New Roman" w:cs="Times New Roman"/>
                <w:b/>
                <w:bCs/>
                <w:color w:val="000000"/>
                <w:sz w:val="14"/>
                <w:szCs w:val="14"/>
                <w:lang w:eastAsia="ru-RU"/>
              </w:rPr>
              <w:t>№</w:t>
            </w:r>
          </w:p>
        </w:tc>
        <w:tc>
          <w:tcPr>
            <w:tcW w:w="44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r w:rsidRPr="00AC3F0F">
              <w:rPr>
                <w:rFonts w:ascii="Times New Roman" w:eastAsia="Times New Roman" w:hAnsi="Times New Roman" w:cs="Times New Roman"/>
                <w:b/>
                <w:bCs/>
                <w:color w:val="000000"/>
                <w:sz w:val="14"/>
                <w:szCs w:val="14"/>
                <w:lang w:eastAsia="ru-RU"/>
              </w:rPr>
              <w:t xml:space="preserve">Наименование товара, </w:t>
            </w:r>
          </w:p>
        </w:tc>
        <w:tc>
          <w:tcPr>
            <w:tcW w:w="34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r w:rsidRPr="00AC3F0F">
              <w:rPr>
                <w:rFonts w:ascii="Times New Roman" w:eastAsia="Times New Roman" w:hAnsi="Times New Roman" w:cs="Times New Roman"/>
                <w:b/>
                <w:bCs/>
                <w:color w:val="000000"/>
                <w:sz w:val="14"/>
                <w:szCs w:val="14"/>
                <w:lang w:eastAsia="ru-RU"/>
              </w:rPr>
              <w:t>КТРУ/ОКПД2</w:t>
            </w:r>
          </w:p>
        </w:tc>
        <w:tc>
          <w:tcPr>
            <w:tcW w:w="34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r w:rsidRPr="00AC3F0F">
              <w:rPr>
                <w:rFonts w:ascii="Times New Roman" w:eastAsia="Times New Roman" w:hAnsi="Times New Roman" w:cs="Times New Roman"/>
                <w:b/>
                <w:bCs/>
                <w:color w:val="000000"/>
                <w:sz w:val="14"/>
                <w:szCs w:val="14"/>
                <w:lang w:eastAsia="ru-RU"/>
              </w:rPr>
              <w:t>Единица измерения</w:t>
            </w:r>
          </w:p>
        </w:tc>
        <w:tc>
          <w:tcPr>
            <w:tcW w:w="73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r w:rsidRPr="00AC3F0F">
              <w:rPr>
                <w:rFonts w:ascii="Times New Roman" w:eastAsia="Times New Roman" w:hAnsi="Times New Roman" w:cs="Times New Roman"/>
                <w:b/>
                <w:bCs/>
                <w:color w:val="000000"/>
                <w:sz w:val="14"/>
                <w:szCs w:val="14"/>
                <w:lang w:eastAsia="ru-RU"/>
              </w:rPr>
              <w:t>Функциональные, технические, качественные, эксплуатационные характеристики товара (единицы измерения)</w:t>
            </w:r>
          </w:p>
        </w:tc>
        <w:tc>
          <w:tcPr>
            <w:tcW w:w="58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r w:rsidRPr="00AC3F0F">
              <w:rPr>
                <w:rFonts w:ascii="Times New Roman" w:eastAsia="Times New Roman" w:hAnsi="Times New Roman" w:cs="Times New Roman"/>
                <w:b/>
                <w:bCs/>
                <w:color w:val="000000"/>
                <w:sz w:val="14"/>
                <w:szCs w:val="14"/>
                <w:lang w:eastAsia="ru-RU"/>
              </w:rPr>
              <w:t>Значения характеристик товара, которые не подлежат изменению участником закупки, или минимальные и (или) максимальные значения характеристик товара</w:t>
            </w:r>
          </w:p>
        </w:tc>
        <w:tc>
          <w:tcPr>
            <w:tcW w:w="34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r w:rsidRPr="00AC3F0F">
              <w:rPr>
                <w:rFonts w:ascii="Times New Roman" w:eastAsia="Times New Roman" w:hAnsi="Times New Roman" w:cs="Times New Roman"/>
                <w:b/>
                <w:bCs/>
                <w:color w:val="000000"/>
                <w:sz w:val="14"/>
                <w:szCs w:val="14"/>
                <w:lang w:eastAsia="ru-RU"/>
              </w:rPr>
              <w:t>Единица измерения значения</w:t>
            </w:r>
          </w:p>
        </w:tc>
        <w:tc>
          <w:tcPr>
            <w:tcW w:w="44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r w:rsidRPr="00AC3F0F">
              <w:rPr>
                <w:rFonts w:ascii="Times New Roman" w:eastAsia="Times New Roman" w:hAnsi="Times New Roman" w:cs="Times New Roman"/>
                <w:b/>
                <w:bCs/>
                <w:color w:val="000000"/>
                <w:sz w:val="14"/>
                <w:szCs w:val="14"/>
                <w:lang w:eastAsia="ru-RU"/>
              </w:rPr>
              <w:t>Обоснование дополнительных характеристик</w:t>
            </w:r>
          </w:p>
        </w:tc>
        <w:tc>
          <w:tcPr>
            <w:tcW w:w="490" w:type="pct"/>
            <w:vMerge w:val="restart"/>
            <w:tcBorders>
              <w:top w:val="single" w:sz="8" w:space="0" w:color="000000"/>
              <w:left w:val="single" w:sz="8" w:space="0" w:color="000000"/>
              <w:bottom w:val="single" w:sz="8" w:space="0" w:color="000000"/>
              <w:right w:val="nil"/>
            </w:tcBorders>
            <w:shd w:val="clear" w:color="auto" w:fill="auto"/>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r w:rsidRPr="00AC3F0F">
              <w:rPr>
                <w:rFonts w:ascii="Times New Roman" w:eastAsia="Times New Roman" w:hAnsi="Times New Roman" w:cs="Times New Roman"/>
                <w:b/>
                <w:bCs/>
                <w:color w:val="000000"/>
                <w:sz w:val="14"/>
                <w:szCs w:val="14"/>
                <w:lang w:eastAsia="ru-RU"/>
              </w:rPr>
              <w:t>Инструкция заказчика по указанию значений характеристик товара участником закупки</w:t>
            </w:r>
          </w:p>
        </w:tc>
        <w:tc>
          <w:tcPr>
            <w:tcW w:w="1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r w:rsidRPr="00AC3F0F">
              <w:rPr>
                <w:rFonts w:ascii="Times New Roman" w:eastAsia="Times New Roman" w:hAnsi="Times New Roman" w:cs="Times New Roman"/>
                <w:b/>
                <w:bCs/>
                <w:color w:val="000000"/>
                <w:sz w:val="14"/>
                <w:szCs w:val="14"/>
                <w:lang w:eastAsia="ru-RU"/>
              </w:rPr>
              <w:t>Кол-во</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r w:rsidRPr="00AC3F0F">
              <w:rPr>
                <w:rFonts w:ascii="Times New Roman" w:eastAsia="Times New Roman" w:hAnsi="Times New Roman" w:cs="Times New Roman"/>
                <w:b/>
                <w:bCs/>
                <w:color w:val="000000"/>
                <w:sz w:val="14"/>
                <w:szCs w:val="14"/>
                <w:lang w:eastAsia="ru-RU"/>
              </w:rPr>
              <w:t>Страна происхождения Товара</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r w:rsidRPr="00AC3F0F">
              <w:rPr>
                <w:rFonts w:ascii="Times New Roman" w:eastAsia="Times New Roman" w:hAnsi="Times New Roman" w:cs="Times New Roman"/>
                <w:b/>
                <w:bCs/>
                <w:color w:val="000000"/>
                <w:sz w:val="14"/>
                <w:szCs w:val="14"/>
                <w:lang w:eastAsia="ru-RU"/>
              </w:rPr>
              <w:t>Ставка НДС</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r>
              <w:rPr>
                <w:rFonts w:ascii="Times New Roman" w:eastAsia="Times New Roman" w:hAnsi="Times New Roman" w:cs="Times New Roman"/>
                <w:b/>
                <w:bCs/>
                <w:color w:val="000000"/>
                <w:sz w:val="14"/>
                <w:szCs w:val="14"/>
                <w:lang w:eastAsia="ru-RU"/>
              </w:rPr>
              <w:t>Цена за ед. с</w:t>
            </w:r>
            <w:r w:rsidRPr="00AC3F0F">
              <w:rPr>
                <w:rFonts w:ascii="Times New Roman" w:eastAsia="Times New Roman" w:hAnsi="Times New Roman" w:cs="Times New Roman"/>
                <w:b/>
                <w:bCs/>
                <w:color w:val="000000"/>
                <w:sz w:val="14"/>
                <w:szCs w:val="14"/>
                <w:lang w:eastAsia="ru-RU"/>
              </w:rPr>
              <w:t xml:space="preserve"> НДС</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r>
              <w:rPr>
                <w:rFonts w:ascii="Times New Roman" w:eastAsia="Times New Roman" w:hAnsi="Times New Roman" w:cs="Times New Roman"/>
                <w:b/>
                <w:bCs/>
                <w:color w:val="000000"/>
                <w:sz w:val="14"/>
                <w:szCs w:val="14"/>
                <w:lang w:eastAsia="ru-RU"/>
              </w:rPr>
              <w:t>Сумма с</w:t>
            </w:r>
            <w:r w:rsidRPr="00AC3F0F">
              <w:rPr>
                <w:rFonts w:ascii="Times New Roman" w:eastAsia="Times New Roman" w:hAnsi="Times New Roman" w:cs="Times New Roman"/>
                <w:b/>
                <w:bCs/>
                <w:color w:val="000000"/>
                <w:sz w:val="14"/>
                <w:szCs w:val="14"/>
                <w:lang w:eastAsia="ru-RU"/>
              </w:rPr>
              <w:t xml:space="preserve"> НДС</w:t>
            </w:r>
          </w:p>
        </w:tc>
      </w:tr>
      <w:tr w:rsidR="00E51B90" w:rsidRPr="00AC3F0F" w:rsidTr="000C6ABB">
        <w:trPr>
          <w:trHeight w:val="402"/>
        </w:trPr>
        <w:tc>
          <w:tcPr>
            <w:tcW w:w="148" w:type="pct"/>
            <w:vMerge/>
            <w:tcBorders>
              <w:top w:val="single" w:sz="4" w:space="0" w:color="000000"/>
              <w:left w:val="single" w:sz="4" w:space="0" w:color="000000"/>
              <w:bottom w:val="single" w:sz="4" w:space="0" w:color="000000"/>
              <w:right w:val="single" w:sz="4" w:space="0" w:color="000000"/>
            </w:tcBorders>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p>
        </w:tc>
        <w:tc>
          <w:tcPr>
            <w:tcW w:w="442" w:type="pct"/>
            <w:vMerge/>
            <w:tcBorders>
              <w:top w:val="single" w:sz="8" w:space="0" w:color="000000"/>
              <w:left w:val="single" w:sz="8" w:space="0" w:color="000000"/>
              <w:bottom w:val="single" w:sz="8" w:space="0" w:color="000000"/>
              <w:right w:val="single" w:sz="8" w:space="0" w:color="000000"/>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344" w:type="pct"/>
            <w:vMerge/>
            <w:tcBorders>
              <w:top w:val="single" w:sz="8" w:space="0" w:color="000000"/>
              <w:left w:val="single" w:sz="8" w:space="0" w:color="000000"/>
              <w:bottom w:val="single" w:sz="8" w:space="0" w:color="000000"/>
              <w:right w:val="single" w:sz="8" w:space="0" w:color="000000"/>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343" w:type="pct"/>
            <w:vMerge/>
            <w:tcBorders>
              <w:top w:val="single" w:sz="8" w:space="0" w:color="000000"/>
              <w:left w:val="single" w:sz="8" w:space="0" w:color="000000"/>
              <w:bottom w:val="single" w:sz="8" w:space="0" w:color="000000"/>
              <w:right w:val="single" w:sz="8" w:space="0" w:color="000000"/>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739" w:type="pct"/>
            <w:vMerge/>
            <w:tcBorders>
              <w:top w:val="single" w:sz="8" w:space="0" w:color="000000"/>
              <w:left w:val="single" w:sz="8" w:space="0" w:color="000000"/>
              <w:bottom w:val="single" w:sz="8" w:space="0" w:color="000000"/>
              <w:right w:val="single" w:sz="8" w:space="0" w:color="000000"/>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582" w:type="pct"/>
            <w:vMerge/>
            <w:tcBorders>
              <w:top w:val="single" w:sz="8" w:space="0" w:color="000000"/>
              <w:left w:val="single" w:sz="8" w:space="0" w:color="000000"/>
              <w:bottom w:val="single" w:sz="8" w:space="0" w:color="000000"/>
              <w:right w:val="single" w:sz="8" w:space="0" w:color="000000"/>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343" w:type="pct"/>
            <w:vMerge/>
            <w:tcBorders>
              <w:top w:val="single" w:sz="8" w:space="0" w:color="000000"/>
              <w:left w:val="single" w:sz="8" w:space="0" w:color="000000"/>
              <w:bottom w:val="single" w:sz="8" w:space="0" w:color="000000"/>
              <w:right w:val="single" w:sz="8" w:space="0" w:color="000000"/>
            </w:tcBorders>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p>
        </w:tc>
        <w:tc>
          <w:tcPr>
            <w:tcW w:w="441" w:type="pct"/>
            <w:vMerge/>
            <w:tcBorders>
              <w:top w:val="single" w:sz="8" w:space="0" w:color="000000"/>
              <w:left w:val="single" w:sz="8" w:space="0" w:color="000000"/>
              <w:bottom w:val="single" w:sz="8" w:space="0" w:color="000000"/>
              <w:right w:val="single" w:sz="8" w:space="0" w:color="000000"/>
            </w:tcBorders>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p>
        </w:tc>
        <w:tc>
          <w:tcPr>
            <w:tcW w:w="490" w:type="pct"/>
            <w:vMerge/>
            <w:tcBorders>
              <w:top w:val="single" w:sz="8" w:space="0" w:color="000000"/>
              <w:left w:val="single" w:sz="8" w:space="0" w:color="000000"/>
              <w:bottom w:val="single" w:sz="8" w:space="0" w:color="000000"/>
              <w:right w:val="nil"/>
            </w:tcBorders>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r>
      <w:tr w:rsidR="00E51B90" w:rsidRPr="00AC3F0F" w:rsidTr="000C6ABB">
        <w:trPr>
          <w:trHeight w:val="402"/>
        </w:trPr>
        <w:tc>
          <w:tcPr>
            <w:tcW w:w="148" w:type="pct"/>
            <w:vMerge/>
            <w:tcBorders>
              <w:top w:val="single" w:sz="4" w:space="0" w:color="000000"/>
              <w:left w:val="single" w:sz="4" w:space="0" w:color="000000"/>
              <w:bottom w:val="single" w:sz="4" w:space="0" w:color="000000"/>
              <w:right w:val="single" w:sz="4" w:space="0" w:color="000000"/>
            </w:tcBorders>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p>
        </w:tc>
        <w:tc>
          <w:tcPr>
            <w:tcW w:w="442" w:type="pct"/>
            <w:vMerge/>
            <w:tcBorders>
              <w:top w:val="single" w:sz="8" w:space="0" w:color="000000"/>
              <w:left w:val="single" w:sz="8" w:space="0" w:color="000000"/>
              <w:bottom w:val="single" w:sz="8" w:space="0" w:color="000000"/>
              <w:right w:val="single" w:sz="8" w:space="0" w:color="000000"/>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344" w:type="pct"/>
            <w:vMerge/>
            <w:tcBorders>
              <w:top w:val="single" w:sz="8" w:space="0" w:color="000000"/>
              <w:left w:val="single" w:sz="8" w:space="0" w:color="000000"/>
              <w:bottom w:val="single" w:sz="8" w:space="0" w:color="000000"/>
              <w:right w:val="single" w:sz="8" w:space="0" w:color="000000"/>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343" w:type="pct"/>
            <w:vMerge/>
            <w:tcBorders>
              <w:top w:val="single" w:sz="8" w:space="0" w:color="000000"/>
              <w:left w:val="single" w:sz="8" w:space="0" w:color="000000"/>
              <w:bottom w:val="single" w:sz="8" w:space="0" w:color="000000"/>
              <w:right w:val="single" w:sz="8" w:space="0" w:color="000000"/>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739" w:type="pct"/>
            <w:vMerge/>
            <w:tcBorders>
              <w:top w:val="single" w:sz="8" w:space="0" w:color="000000"/>
              <w:left w:val="single" w:sz="8" w:space="0" w:color="000000"/>
              <w:bottom w:val="single" w:sz="8" w:space="0" w:color="000000"/>
              <w:right w:val="single" w:sz="8" w:space="0" w:color="000000"/>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582" w:type="pct"/>
            <w:vMerge/>
            <w:tcBorders>
              <w:top w:val="single" w:sz="8" w:space="0" w:color="000000"/>
              <w:left w:val="single" w:sz="8" w:space="0" w:color="000000"/>
              <w:bottom w:val="single" w:sz="8" w:space="0" w:color="000000"/>
              <w:right w:val="single" w:sz="8" w:space="0" w:color="000000"/>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343" w:type="pct"/>
            <w:vMerge/>
            <w:tcBorders>
              <w:top w:val="single" w:sz="8" w:space="0" w:color="000000"/>
              <w:left w:val="single" w:sz="8" w:space="0" w:color="000000"/>
              <w:bottom w:val="single" w:sz="8" w:space="0" w:color="000000"/>
              <w:right w:val="single" w:sz="8" w:space="0" w:color="000000"/>
            </w:tcBorders>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p>
        </w:tc>
        <w:tc>
          <w:tcPr>
            <w:tcW w:w="441" w:type="pct"/>
            <w:vMerge/>
            <w:tcBorders>
              <w:top w:val="single" w:sz="8" w:space="0" w:color="000000"/>
              <w:left w:val="single" w:sz="8" w:space="0" w:color="000000"/>
              <w:bottom w:val="single" w:sz="8" w:space="0" w:color="000000"/>
              <w:right w:val="single" w:sz="8" w:space="0" w:color="000000"/>
            </w:tcBorders>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p>
        </w:tc>
        <w:tc>
          <w:tcPr>
            <w:tcW w:w="490" w:type="pct"/>
            <w:vMerge/>
            <w:tcBorders>
              <w:top w:val="single" w:sz="8" w:space="0" w:color="000000"/>
              <w:left w:val="single" w:sz="8" w:space="0" w:color="000000"/>
              <w:bottom w:val="single" w:sz="8" w:space="0" w:color="000000"/>
              <w:right w:val="nil"/>
            </w:tcBorders>
            <w:vAlign w:val="center"/>
            <w:hideMark/>
          </w:tcPr>
          <w:p w:rsidR="00E51B90" w:rsidRPr="00AC3F0F" w:rsidRDefault="00E51B90" w:rsidP="000C6ABB">
            <w:pPr>
              <w:spacing w:after="0" w:line="240" w:lineRule="auto"/>
              <w:jc w:val="center"/>
              <w:rPr>
                <w:rFonts w:ascii="Times New Roman" w:eastAsia="Times New Roman" w:hAnsi="Times New Roman" w:cs="Times New Roman"/>
                <w:b/>
                <w:bCs/>
                <w:color w:val="000000"/>
                <w:sz w:val="14"/>
                <w:szCs w:val="14"/>
                <w:lang w:eastAsia="ru-RU"/>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E51B90" w:rsidRPr="00AC3F0F" w:rsidRDefault="00E51B90" w:rsidP="000C6ABB">
            <w:pPr>
              <w:spacing w:after="0" w:line="240" w:lineRule="auto"/>
              <w:rPr>
                <w:rFonts w:ascii="Times New Roman" w:eastAsia="Times New Roman" w:hAnsi="Times New Roman" w:cs="Times New Roman"/>
                <w:b/>
                <w:bCs/>
                <w:color w:val="000000"/>
                <w:sz w:val="14"/>
                <w:szCs w:val="14"/>
                <w:lang w:eastAsia="ru-RU"/>
              </w:rPr>
            </w:pPr>
          </w:p>
        </w:tc>
      </w:tr>
      <w:tr w:rsidR="00E51B90" w:rsidRPr="00AC3F0F" w:rsidTr="000C6ABB">
        <w:trPr>
          <w:trHeight w:val="402"/>
        </w:trPr>
        <w:tc>
          <w:tcPr>
            <w:tcW w:w="148"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w:t>
            </w:r>
          </w:p>
        </w:tc>
        <w:tc>
          <w:tcPr>
            <w:tcW w:w="442"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Набор химических индикаторов для контроля температурных параметров режимов стерилизации</w:t>
            </w:r>
          </w:p>
        </w:tc>
        <w:tc>
          <w:tcPr>
            <w:tcW w:w="344"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20.59.52.140</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упак</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Индикаторы для контроля качества стерилизации при температуре 126 град.С, позволяют достоверно обнаружить и идентифицировать потенциальные нарушения в процессе стерилизации.</w:t>
            </w:r>
          </w:p>
        </w:tc>
        <w:tc>
          <w:tcPr>
            <w:tcW w:w="582"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Соответствие</w:t>
            </w:r>
          </w:p>
        </w:tc>
        <w:tc>
          <w:tcPr>
            <w:tcW w:w="343"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41"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90"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89"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val="en-US" w:eastAsia="ru-RU"/>
              </w:rPr>
            </w:pPr>
            <w:r>
              <w:rPr>
                <w:rFonts w:ascii="Times New Roman" w:eastAsia="Times New Roman" w:hAnsi="Times New Roman" w:cs="Times New Roman"/>
                <w:color w:val="000000"/>
                <w:sz w:val="14"/>
                <w:szCs w:val="14"/>
                <w:lang w:val="en-US" w:eastAsia="ru-RU"/>
              </w:rPr>
              <w:t>1</w:t>
            </w: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196"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45"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r>
      <w:tr w:rsidR="00E51B90" w:rsidRPr="00AC3F0F" w:rsidTr="000C6ABB">
        <w:trPr>
          <w:trHeight w:val="402"/>
        </w:trPr>
        <w:tc>
          <w:tcPr>
            <w:tcW w:w="148"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344"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Предназначены для использования в процессе стерилизации с применением пара и сухого тепла, включает в себя ряд химических индикаторов 3 класса.</w:t>
            </w:r>
          </w:p>
        </w:tc>
        <w:tc>
          <w:tcPr>
            <w:tcW w:w="582"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Соответствие</w:t>
            </w:r>
          </w:p>
        </w:tc>
        <w:tc>
          <w:tcPr>
            <w:tcW w:w="343"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41"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90"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89"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196"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45"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r>
      <w:tr w:rsidR="00E51B90" w:rsidRPr="00AC3F0F" w:rsidTr="000C6ABB">
        <w:trPr>
          <w:trHeight w:val="402"/>
        </w:trPr>
        <w:tc>
          <w:tcPr>
            <w:tcW w:w="148"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344"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Фасовка</w:t>
            </w:r>
          </w:p>
        </w:tc>
        <w:tc>
          <w:tcPr>
            <w:tcW w:w="582"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585CAD">
              <w:rPr>
                <w:rFonts w:ascii="Times New Roman" w:eastAsia="Times New Roman" w:hAnsi="Times New Roman" w:cs="Times New Roman"/>
                <w:color w:val="000000"/>
                <w:sz w:val="14"/>
                <w:szCs w:val="14"/>
                <w:lang w:eastAsia="ru-RU"/>
              </w:rPr>
              <w:t>≥</w:t>
            </w:r>
            <w:r>
              <w:rPr>
                <w:rFonts w:ascii="Times New Roman" w:eastAsia="Times New Roman" w:hAnsi="Times New Roman" w:cs="Times New Roman"/>
                <w:color w:val="000000"/>
                <w:sz w:val="14"/>
                <w:szCs w:val="14"/>
                <w:lang w:eastAsia="ru-RU"/>
              </w:rPr>
              <w:t xml:space="preserve"> </w:t>
            </w:r>
            <w:r w:rsidRPr="00AC3F0F">
              <w:rPr>
                <w:rFonts w:ascii="Times New Roman" w:eastAsia="Times New Roman" w:hAnsi="Times New Roman" w:cs="Times New Roman"/>
                <w:color w:val="000000"/>
                <w:sz w:val="14"/>
                <w:szCs w:val="14"/>
                <w:lang w:eastAsia="ru-RU"/>
              </w:rPr>
              <w:t>10</w:t>
            </w:r>
          </w:p>
        </w:tc>
        <w:tc>
          <w:tcPr>
            <w:tcW w:w="343"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А</w:t>
            </w:r>
            <w:r w:rsidRPr="00AC3F0F">
              <w:rPr>
                <w:rFonts w:ascii="Times New Roman" w:eastAsia="Times New Roman" w:hAnsi="Times New Roman" w:cs="Times New Roman"/>
                <w:color w:val="000000"/>
                <w:sz w:val="14"/>
                <w:szCs w:val="14"/>
                <w:lang w:eastAsia="ru-RU"/>
              </w:rPr>
              <w:t>мпул</w:t>
            </w:r>
            <w:r>
              <w:rPr>
                <w:rFonts w:ascii="Times New Roman" w:eastAsia="Times New Roman" w:hAnsi="Times New Roman" w:cs="Times New Roman"/>
                <w:color w:val="000000"/>
                <w:sz w:val="14"/>
                <w:szCs w:val="14"/>
                <w:lang w:eastAsia="ru-RU"/>
              </w:rPr>
              <w:t>а</w:t>
            </w:r>
          </w:p>
        </w:tc>
        <w:tc>
          <w:tcPr>
            <w:tcW w:w="441"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90"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89"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196"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45"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r>
      <w:tr w:rsidR="00E51B90" w:rsidRPr="00AC3F0F" w:rsidTr="000C6ABB">
        <w:trPr>
          <w:trHeight w:val="402"/>
        </w:trPr>
        <w:tc>
          <w:tcPr>
            <w:tcW w:w="148" w:type="pct"/>
            <w:vMerge w:val="restart"/>
            <w:tcBorders>
              <w:top w:val="single" w:sz="4" w:space="0" w:color="auto"/>
              <w:left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w:t>
            </w:r>
          </w:p>
        </w:tc>
        <w:tc>
          <w:tcPr>
            <w:tcW w:w="442" w:type="pct"/>
            <w:vMerge w:val="restart"/>
            <w:tcBorders>
              <w:top w:val="single" w:sz="4" w:space="0" w:color="auto"/>
              <w:left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Среда Кода</w:t>
            </w:r>
          </w:p>
        </w:tc>
        <w:tc>
          <w:tcPr>
            <w:tcW w:w="344" w:type="pct"/>
            <w:vMerge w:val="restart"/>
            <w:tcBorders>
              <w:top w:val="single" w:sz="4" w:space="0" w:color="auto"/>
              <w:left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585CAD">
              <w:rPr>
                <w:rFonts w:ascii="Times New Roman" w:eastAsia="Times New Roman" w:hAnsi="Times New Roman" w:cs="Times New Roman"/>
                <w:color w:val="000000"/>
                <w:sz w:val="14"/>
                <w:szCs w:val="14"/>
                <w:lang w:eastAsia="ru-RU"/>
              </w:rPr>
              <w:t>20.59.52.140</w:t>
            </w:r>
          </w:p>
        </w:tc>
        <w:tc>
          <w:tcPr>
            <w:tcW w:w="343" w:type="pct"/>
            <w:vMerge w:val="restart"/>
            <w:tcBorders>
              <w:top w:val="single" w:sz="4" w:space="0" w:color="auto"/>
              <w:left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кг</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E51B90" w:rsidRPr="00585CAD" w:rsidRDefault="00E51B90" w:rsidP="000C6ABB">
            <w:pPr>
              <w:spacing w:after="0" w:line="240" w:lineRule="auto"/>
              <w:jc w:val="both"/>
              <w:rPr>
                <w:rFonts w:ascii="Times New Roman" w:eastAsia="Times New Roman" w:hAnsi="Times New Roman" w:cs="Times New Roman"/>
                <w:color w:val="000000"/>
                <w:sz w:val="14"/>
                <w:szCs w:val="14"/>
                <w:lang w:eastAsia="ru-RU"/>
              </w:rPr>
            </w:pPr>
            <w:r w:rsidRPr="00585CAD">
              <w:rPr>
                <w:rFonts w:ascii="Times New Roman" w:eastAsia="Times New Roman" w:hAnsi="Times New Roman" w:cs="Times New Roman"/>
                <w:color w:val="000000"/>
                <w:sz w:val="14"/>
                <w:szCs w:val="14"/>
                <w:lang w:eastAsia="ru-RU"/>
              </w:rPr>
              <w:t>Среда предназначена для выделения и дифференциации энтеробактерий при санитарных исследованиях продуктов питания, сырья и объектов внешней среды.</w:t>
            </w:r>
          </w:p>
        </w:tc>
        <w:tc>
          <w:tcPr>
            <w:tcW w:w="582" w:type="pct"/>
            <w:tcBorders>
              <w:top w:val="single" w:sz="4" w:space="0" w:color="auto"/>
              <w:left w:val="single" w:sz="4" w:space="0" w:color="auto"/>
              <w:bottom w:val="single" w:sz="4" w:space="0" w:color="auto"/>
              <w:right w:val="single" w:sz="4" w:space="0" w:color="auto"/>
            </w:tcBorders>
            <w:vAlign w:val="center"/>
          </w:tcPr>
          <w:p w:rsidR="00E51B90" w:rsidRPr="00585CAD"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585CAD">
              <w:rPr>
                <w:rFonts w:ascii="Times New Roman" w:eastAsia="Times New Roman" w:hAnsi="Times New Roman" w:cs="Times New Roman"/>
                <w:color w:val="000000"/>
                <w:sz w:val="14"/>
                <w:szCs w:val="14"/>
                <w:lang w:eastAsia="ru-RU"/>
              </w:rPr>
              <w:t>Соответствует</w:t>
            </w:r>
          </w:p>
        </w:tc>
        <w:tc>
          <w:tcPr>
            <w:tcW w:w="343" w:type="pct"/>
            <w:tcBorders>
              <w:top w:val="single" w:sz="4" w:space="0" w:color="auto"/>
              <w:left w:val="single" w:sz="4" w:space="0" w:color="auto"/>
              <w:bottom w:val="single" w:sz="4" w:space="0" w:color="auto"/>
              <w:right w:val="single" w:sz="4" w:space="0" w:color="auto"/>
            </w:tcBorders>
            <w:vAlign w:val="center"/>
          </w:tcPr>
          <w:p w:rsidR="00E51B90" w:rsidRPr="00585CAD"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585CAD">
              <w:rPr>
                <w:rFonts w:ascii="Times New Roman" w:eastAsia="Times New Roman" w:hAnsi="Times New Roman" w:cs="Times New Roman"/>
                <w:color w:val="000000"/>
                <w:sz w:val="14"/>
                <w:szCs w:val="14"/>
                <w:lang w:eastAsia="ru-RU"/>
              </w:rPr>
              <w:t>-</w:t>
            </w:r>
          </w:p>
        </w:tc>
        <w:tc>
          <w:tcPr>
            <w:tcW w:w="441" w:type="pct"/>
            <w:tcBorders>
              <w:top w:val="single" w:sz="4" w:space="0" w:color="auto"/>
              <w:left w:val="single" w:sz="4" w:space="0" w:color="auto"/>
              <w:bottom w:val="single" w:sz="4" w:space="0" w:color="auto"/>
              <w:right w:val="single" w:sz="4" w:space="0" w:color="auto"/>
            </w:tcBorders>
            <w:vAlign w:val="center"/>
          </w:tcPr>
          <w:p w:rsidR="00E51B90" w:rsidRPr="00585CAD"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585CAD">
              <w:rPr>
                <w:rFonts w:ascii="Times New Roman" w:eastAsia="Times New Roman" w:hAnsi="Times New Roman" w:cs="Times New Roman"/>
                <w:color w:val="000000"/>
                <w:sz w:val="14"/>
                <w:szCs w:val="14"/>
                <w:lang w:eastAsia="ru-RU"/>
              </w:rPr>
              <w:t>-</w:t>
            </w:r>
          </w:p>
        </w:tc>
        <w:tc>
          <w:tcPr>
            <w:tcW w:w="490" w:type="pct"/>
            <w:tcBorders>
              <w:top w:val="single" w:sz="4" w:space="0" w:color="auto"/>
              <w:left w:val="single" w:sz="4" w:space="0" w:color="auto"/>
              <w:bottom w:val="single" w:sz="4" w:space="0" w:color="auto"/>
              <w:right w:val="single" w:sz="4" w:space="0" w:color="auto"/>
            </w:tcBorders>
            <w:vAlign w:val="center"/>
          </w:tcPr>
          <w:p w:rsidR="00E51B90" w:rsidRPr="00585CAD"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585CA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89" w:type="pct"/>
            <w:vMerge w:val="restart"/>
            <w:tcBorders>
              <w:top w:val="single" w:sz="4" w:space="0" w:color="auto"/>
              <w:left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val="en-US" w:eastAsia="ru-RU"/>
              </w:rPr>
            </w:pPr>
            <w:r w:rsidRPr="00AC3F0F">
              <w:rPr>
                <w:rFonts w:ascii="Times New Roman" w:eastAsia="Times New Roman" w:hAnsi="Times New Roman" w:cs="Times New Roman"/>
                <w:color w:val="000000"/>
                <w:sz w:val="14"/>
                <w:szCs w:val="14"/>
                <w:lang w:val="en-US" w:eastAsia="ru-RU"/>
              </w:rPr>
              <w:t>1</w:t>
            </w:r>
          </w:p>
        </w:tc>
        <w:tc>
          <w:tcPr>
            <w:tcW w:w="268" w:type="pct"/>
            <w:vMerge w:val="restart"/>
            <w:tcBorders>
              <w:top w:val="single" w:sz="4" w:space="0" w:color="auto"/>
              <w:left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30" w:type="pct"/>
            <w:vMerge w:val="restart"/>
            <w:tcBorders>
              <w:top w:val="single" w:sz="4" w:space="0" w:color="auto"/>
              <w:left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196" w:type="pct"/>
            <w:vMerge w:val="restart"/>
            <w:tcBorders>
              <w:top w:val="single" w:sz="4" w:space="0" w:color="auto"/>
              <w:left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45" w:type="pct"/>
            <w:vMerge w:val="restart"/>
            <w:tcBorders>
              <w:top w:val="single" w:sz="4" w:space="0" w:color="auto"/>
              <w:left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r>
      <w:tr w:rsidR="00E51B90" w:rsidRPr="00AC3F0F" w:rsidTr="000C6ABB">
        <w:trPr>
          <w:trHeight w:val="402"/>
        </w:trPr>
        <w:tc>
          <w:tcPr>
            <w:tcW w:w="148" w:type="pct"/>
            <w:vMerge/>
            <w:tcBorders>
              <w:left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442" w:type="pct"/>
            <w:vMerge/>
            <w:tcBorders>
              <w:left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344" w:type="pct"/>
            <w:vMerge/>
            <w:tcBorders>
              <w:left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343" w:type="pct"/>
            <w:vMerge/>
            <w:tcBorders>
              <w:left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E51B90" w:rsidRPr="00585CAD" w:rsidRDefault="00E51B90" w:rsidP="000C6ABB">
            <w:pPr>
              <w:spacing w:after="0" w:line="240" w:lineRule="auto"/>
              <w:rPr>
                <w:rFonts w:ascii="Times New Roman" w:eastAsia="Times New Roman" w:hAnsi="Times New Roman" w:cs="Times New Roman"/>
                <w:color w:val="000000"/>
                <w:sz w:val="14"/>
                <w:szCs w:val="14"/>
                <w:lang w:eastAsia="ru-RU"/>
              </w:rPr>
            </w:pPr>
            <w:r w:rsidRPr="00585CAD">
              <w:rPr>
                <w:rFonts w:ascii="Times New Roman" w:eastAsia="Times New Roman" w:hAnsi="Times New Roman" w:cs="Times New Roman"/>
                <w:color w:val="000000"/>
                <w:sz w:val="14"/>
                <w:szCs w:val="14"/>
                <w:lang w:eastAsia="ru-RU"/>
              </w:rPr>
              <w:t>Фасовка:</w:t>
            </w:r>
          </w:p>
        </w:tc>
        <w:tc>
          <w:tcPr>
            <w:tcW w:w="582" w:type="pct"/>
            <w:tcBorders>
              <w:top w:val="single" w:sz="4" w:space="0" w:color="auto"/>
              <w:left w:val="single" w:sz="4" w:space="0" w:color="auto"/>
              <w:bottom w:val="single" w:sz="4" w:space="0" w:color="auto"/>
              <w:right w:val="single" w:sz="4" w:space="0" w:color="auto"/>
            </w:tcBorders>
            <w:vAlign w:val="center"/>
          </w:tcPr>
          <w:p w:rsidR="00E51B90" w:rsidRPr="00585CAD" w:rsidRDefault="00E51B90" w:rsidP="000C6ABB">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 0.</w:t>
            </w:r>
            <w:r w:rsidRPr="00585CAD">
              <w:rPr>
                <w:rFonts w:ascii="Times New Roman" w:eastAsia="Times New Roman" w:hAnsi="Times New Roman" w:cs="Times New Roman"/>
                <w:color w:val="000000"/>
                <w:sz w:val="14"/>
                <w:szCs w:val="14"/>
                <w:lang w:eastAsia="ru-RU"/>
              </w:rPr>
              <w:t>1</w:t>
            </w:r>
          </w:p>
        </w:tc>
        <w:tc>
          <w:tcPr>
            <w:tcW w:w="343" w:type="pct"/>
            <w:tcBorders>
              <w:top w:val="single" w:sz="4" w:space="0" w:color="auto"/>
              <w:left w:val="single" w:sz="4" w:space="0" w:color="auto"/>
              <w:bottom w:val="single" w:sz="4" w:space="0" w:color="auto"/>
              <w:right w:val="single" w:sz="4" w:space="0" w:color="auto"/>
            </w:tcBorders>
            <w:vAlign w:val="center"/>
          </w:tcPr>
          <w:p w:rsidR="00E51B90" w:rsidRPr="00585CAD"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585CAD">
              <w:rPr>
                <w:rFonts w:ascii="Times New Roman" w:eastAsia="Times New Roman" w:hAnsi="Times New Roman" w:cs="Times New Roman"/>
                <w:color w:val="000000"/>
                <w:sz w:val="14"/>
                <w:szCs w:val="14"/>
                <w:lang w:eastAsia="ru-RU"/>
              </w:rPr>
              <w:t>Килограмм</w:t>
            </w:r>
          </w:p>
        </w:tc>
        <w:tc>
          <w:tcPr>
            <w:tcW w:w="441" w:type="pct"/>
            <w:tcBorders>
              <w:top w:val="single" w:sz="4" w:space="0" w:color="auto"/>
              <w:left w:val="single" w:sz="4" w:space="0" w:color="auto"/>
              <w:bottom w:val="single" w:sz="4" w:space="0" w:color="auto"/>
              <w:right w:val="single" w:sz="4" w:space="0" w:color="auto"/>
            </w:tcBorders>
            <w:vAlign w:val="center"/>
          </w:tcPr>
          <w:p w:rsidR="00E51B90" w:rsidRPr="00585CAD"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585CAD">
              <w:rPr>
                <w:rFonts w:ascii="Times New Roman" w:eastAsia="Times New Roman" w:hAnsi="Times New Roman" w:cs="Times New Roman"/>
                <w:color w:val="000000"/>
                <w:sz w:val="14"/>
                <w:szCs w:val="14"/>
                <w:lang w:eastAsia="ru-RU"/>
              </w:rPr>
              <w:t>-</w:t>
            </w:r>
          </w:p>
        </w:tc>
        <w:tc>
          <w:tcPr>
            <w:tcW w:w="490" w:type="pct"/>
            <w:tcBorders>
              <w:top w:val="single" w:sz="4" w:space="0" w:color="auto"/>
              <w:left w:val="single" w:sz="4" w:space="0" w:color="auto"/>
              <w:bottom w:val="single" w:sz="4" w:space="0" w:color="auto"/>
              <w:right w:val="single" w:sz="4" w:space="0" w:color="auto"/>
            </w:tcBorders>
            <w:vAlign w:val="center"/>
          </w:tcPr>
          <w:p w:rsidR="00E51B90" w:rsidRPr="00585CAD"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585CA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89" w:type="pct"/>
            <w:vMerge/>
            <w:tcBorders>
              <w:left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68" w:type="pct"/>
            <w:vMerge/>
            <w:tcBorders>
              <w:left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30" w:type="pct"/>
            <w:vMerge/>
            <w:tcBorders>
              <w:left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196" w:type="pct"/>
            <w:vMerge/>
            <w:tcBorders>
              <w:left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45" w:type="pct"/>
            <w:vMerge/>
            <w:tcBorders>
              <w:left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r>
      <w:tr w:rsidR="00E51B90" w:rsidRPr="00AC3F0F" w:rsidTr="000C6ABB">
        <w:trPr>
          <w:trHeight w:val="402"/>
        </w:trPr>
        <w:tc>
          <w:tcPr>
            <w:tcW w:w="148"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3</w:t>
            </w:r>
          </w:p>
        </w:tc>
        <w:tc>
          <w:tcPr>
            <w:tcW w:w="442"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Планшет 96-луночный MIC для Грам-отрицательных микроорганизмов</w:t>
            </w:r>
          </w:p>
        </w:tc>
        <w:tc>
          <w:tcPr>
            <w:tcW w:w="344"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20.59.52.199</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упак</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Описание: 96-луночный планшет для определения чувствительности Грам</w:t>
            </w:r>
            <w:r>
              <w:rPr>
                <w:rFonts w:ascii="Times New Roman" w:eastAsia="Times New Roman" w:hAnsi="Times New Roman" w:cs="Times New Roman"/>
                <w:color w:val="000000"/>
                <w:sz w:val="14"/>
                <w:szCs w:val="14"/>
                <w:lang w:eastAsia="ru-RU"/>
              </w:rPr>
              <w:t xml:space="preserve"> </w:t>
            </w:r>
            <w:r w:rsidRPr="00AC3F0F">
              <w:rPr>
                <w:rFonts w:ascii="Times New Roman" w:eastAsia="Times New Roman" w:hAnsi="Times New Roman" w:cs="Times New Roman"/>
                <w:color w:val="000000"/>
                <w:sz w:val="14"/>
                <w:szCs w:val="14"/>
                <w:lang w:eastAsia="ru-RU"/>
              </w:rPr>
              <w:t>-</w:t>
            </w:r>
            <w:r>
              <w:rPr>
                <w:rFonts w:ascii="Times New Roman" w:eastAsia="Times New Roman" w:hAnsi="Times New Roman" w:cs="Times New Roman"/>
                <w:color w:val="000000"/>
                <w:sz w:val="14"/>
                <w:szCs w:val="14"/>
                <w:lang w:eastAsia="ru-RU"/>
              </w:rPr>
              <w:t xml:space="preserve"> </w:t>
            </w:r>
            <w:r w:rsidRPr="00AC3F0F">
              <w:rPr>
                <w:rFonts w:ascii="Times New Roman" w:eastAsia="Times New Roman" w:hAnsi="Times New Roman" w:cs="Times New Roman"/>
                <w:color w:val="000000"/>
                <w:sz w:val="14"/>
                <w:szCs w:val="14"/>
                <w:lang w:eastAsia="ru-RU"/>
              </w:rPr>
              <w:t xml:space="preserve">отрицательных микроорганизмов, в том числе для выявления карбапенем-резистентных энтеробактерий, к антибиотикам. </w:t>
            </w:r>
          </w:p>
        </w:tc>
        <w:tc>
          <w:tcPr>
            <w:tcW w:w="582"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Соответствие</w:t>
            </w:r>
          </w:p>
        </w:tc>
        <w:tc>
          <w:tcPr>
            <w:tcW w:w="343"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41"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90"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89"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val="en-US" w:eastAsia="ru-RU"/>
              </w:rPr>
            </w:pPr>
            <w:r w:rsidRPr="00AC3F0F">
              <w:rPr>
                <w:rFonts w:ascii="Times New Roman" w:eastAsia="Times New Roman" w:hAnsi="Times New Roman" w:cs="Times New Roman"/>
                <w:color w:val="000000"/>
                <w:sz w:val="14"/>
                <w:szCs w:val="14"/>
                <w:lang w:val="en-US" w:eastAsia="ru-RU"/>
              </w:rPr>
              <w:t>1</w:t>
            </w: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196"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45" w:type="pct"/>
            <w:vMerge w:val="restar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r>
      <w:tr w:rsidR="00E51B90" w:rsidRPr="00AC3F0F" w:rsidTr="000C6ABB">
        <w:trPr>
          <w:trHeight w:val="402"/>
        </w:trPr>
        <w:tc>
          <w:tcPr>
            <w:tcW w:w="148"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344"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 xml:space="preserve">Планшет должен содержать антимикробные препараты </w:t>
            </w:r>
          </w:p>
        </w:tc>
        <w:tc>
          <w:tcPr>
            <w:tcW w:w="582"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Амикацин; Азтреонам; Цефепим; Цефтазидим; Цефтриаксон; Ципрофлоксацин; Дорипенем; Колистин; Полимиксин В; Эртапенем; Гентамицин; Имипенем; Левофлоксацин; Доксициклин; Меропенем; Цефотаксим; Миноциклин; Пиперациллин/Тазобактам; Тикарциллин/Клавулановая кислота; Тигециклин; Тобрамицин; Триметоприм/Сульфаметоксазол</w:t>
            </w:r>
          </w:p>
        </w:tc>
        <w:tc>
          <w:tcPr>
            <w:tcW w:w="343"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41"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90"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89"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196"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45"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r>
      <w:tr w:rsidR="00E51B90" w:rsidRPr="00AC3F0F" w:rsidTr="000C6ABB">
        <w:trPr>
          <w:trHeight w:val="402"/>
        </w:trPr>
        <w:tc>
          <w:tcPr>
            <w:tcW w:w="148"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344"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 xml:space="preserve">Каждая лунка содержит лиофильно высушенный раствор антибиотика. </w:t>
            </w:r>
          </w:p>
        </w:tc>
        <w:tc>
          <w:tcPr>
            <w:tcW w:w="582"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Наличие</w:t>
            </w:r>
          </w:p>
        </w:tc>
        <w:tc>
          <w:tcPr>
            <w:tcW w:w="343"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41"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90"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89"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196"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45"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r>
      <w:tr w:rsidR="00E51B90" w:rsidRPr="00AC3F0F" w:rsidTr="000C6ABB">
        <w:trPr>
          <w:trHeight w:val="402"/>
        </w:trPr>
        <w:tc>
          <w:tcPr>
            <w:tcW w:w="148"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344"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 xml:space="preserve">Параметр предназначен для определения чувствительности к антибиотикам – минимально-ингибирующие концентрации (МИК). </w:t>
            </w:r>
          </w:p>
        </w:tc>
        <w:tc>
          <w:tcPr>
            <w:tcW w:w="582"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Наличие</w:t>
            </w:r>
          </w:p>
        </w:tc>
        <w:tc>
          <w:tcPr>
            <w:tcW w:w="343"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41"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90"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89"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196"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45"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r>
      <w:tr w:rsidR="00E51B90" w:rsidRPr="00AC3F0F" w:rsidTr="000C6ABB">
        <w:trPr>
          <w:trHeight w:val="402"/>
        </w:trPr>
        <w:tc>
          <w:tcPr>
            <w:tcW w:w="148"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344"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 xml:space="preserve">Планшет может быть использован для считывания вручную и с помощью бактериологического анализатора. </w:t>
            </w:r>
          </w:p>
        </w:tc>
        <w:tc>
          <w:tcPr>
            <w:tcW w:w="582"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Наличие</w:t>
            </w:r>
          </w:p>
        </w:tc>
        <w:tc>
          <w:tcPr>
            <w:tcW w:w="343"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41"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90"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89"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196"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45"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r>
      <w:tr w:rsidR="00E51B90" w:rsidRPr="00AC3F0F" w:rsidTr="000C6ABB">
        <w:trPr>
          <w:trHeight w:val="402"/>
        </w:trPr>
        <w:tc>
          <w:tcPr>
            <w:tcW w:w="148"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344"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Фасовка</w:t>
            </w:r>
          </w:p>
        </w:tc>
        <w:tc>
          <w:tcPr>
            <w:tcW w:w="582"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585CAD">
              <w:rPr>
                <w:rFonts w:ascii="Times New Roman" w:eastAsia="Times New Roman" w:hAnsi="Times New Roman" w:cs="Times New Roman"/>
                <w:color w:val="000000"/>
                <w:sz w:val="14"/>
                <w:szCs w:val="14"/>
                <w:lang w:eastAsia="ru-RU"/>
              </w:rPr>
              <w:t>≥</w:t>
            </w:r>
            <w:r>
              <w:rPr>
                <w:rFonts w:ascii="Times New Roman" w:eastAsia="Times New Roman" w:hAnsi="Times New Roman" w:cs="Times New Roman"/>
                <w:color w:val="000000"/>
                <w:sz w:val="14"/>
                <w:szCs w:val="14"/>
                <w:lang w:eastAsia="ru-RU"/>
              </w:rPr>
              <w:t xml:space="preserve"> </w:t>
            </w:r>
            <w:r w:rsidRPr="00AC3F0F">
              <w:rPr>
                <w:rFonts w:ascii="Times New Roman" w:eastAsia="Times New Roman" w:hAnsi="Times New Roman" w:cs="Times New Roman"/>
                <w:color w:val="000000"/>
                <w:sz w:val="14"/>
                <w:szCs w:val="14"/>
                <w:lang w:eastAsia="ru-RU"/>
              </w:rPr>
              <w:t>10</w:t>
            </w:r>
          </w:p>
        </w:tc>
        <w:tc>
          <w:tcPr>
            <w:tcW w:w="343"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Штука</w:t>
            </w:r>
          </w:p>
        </w:tc>
        <w:tc>
          <w:tcPr>
            <w:tcW w:w="441"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w:t>
            </w:r>
          </w:p>
        </w:tc>
        <w:tc>
          <w:tcPr>
            <w:tcW w:w="490" w:type="pct"/>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jc w:val="center"/>
              <w:rPr>
                <w:rFonts w:ascii="Times New Roman" w:eastAsia="Times New Roman" w:hAnsi="Times New Roman" w:cs="Times New Roman"/>
                <w:color w:val="000000"/>
                <w:sz w:val="14"/>
                <w:szCs w:val="14"/>
                <w:lang w:eastAsia="ru-RU"/>
              </w:rPr>
            </w:pPr>
            <w:r w:rsidRPr="00AC3F0F">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89"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196"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c>
          <w:tcPr>
            <w:tcW w:w="245" w:type="pct"/>
            <w:vMerge/>
            <w:tcBorders>
              <w:top w:val="single" w:sz="4" w:space="0" w:color="auto"/>
              <w:left w:val="single" w:sz="4" w:space="0" w:color="auto"/>
              <w:bottom w:val="single" w:sz="4" w:space="0" w:color="auto"/>
              <w:right w:val="single" w:sz="4" w:space="0" w:color="auto"/>
            </w:tcBorders>
            <w:vAlign w:val="center"/>
          </w:tcPr>
          <w:p w:rsidR="00E51B90" w:rsidRPr="00AC3F0F" w:rsidRDefault="00E51B90" w:rsidP="000C6ABB">
            <w:pPr>
              <w:spacing w:after="0" w:line="240" w:lineRule="auto"/>
              <w:rPr>
                <w:rFonts w:ascii="Times New Roman" w:eastAsia="Times New Roman" w:hAnsi="Times New Roman" w:cs="Times New Roman"/>
                <w:color w:val="000000"/>
                <w:sz w:val="14"/>
                <w:szCs w:val="14"/>
                <w:lang w:eastAsia="ru-RU"/>
              </w:rPr>
            </w:pPr>
          </w:p>
        </w:tc>
      </w:tr>
    </w:tbl>
    <w:p w:rsidR="00170252" w:rsidRDefault="00170252" w:rsidP="000820E3">
      <w:pPr>
        <w:rPr>
          <w:rFonts w:ascii="Times New Roman" w:hAnsi="Times New Roman" w:cs="Times New Roman"/>
          <w:b/>
          <w:sz w:val="28"/>
          <w:szCs w:val="28"/>
        </w:rPr>
      </w:pPr>
    </w:p>
    <w:sectPr w:rsidR="00170252" w:rsidSect="00E51B90">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70C" w:rsidRDefault="0088570C">
      <w:pPr>
        <w:spacing w:after="0" w:line="240" w:lineRule="auto"/>
      </w:pPr>
      <w:r>
        <w:separator/>
      </w:r>
    </w:p>
  </w:endnote>
  <w:endnote w:type="continuationSeparator" w:id="0">
    <w:p w:rsidR="0088570C" w:rsidRDefault="0088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E2F3B" w:rsidRDefault="004E2F3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E2F3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E2F3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E2F3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E2F3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51B9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E2F3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51B9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70C" w:rsidRDefault="0088570C">
      <w:pPr>
        <w:spacing w:after="0" w:line="240" w:lineRule="auto"/>
      </w:pPr>
      <w:r>
        <w:separator/>
      </w:r>
    </w:p>
  </w:footnote>
  <w:footnote w:type="continuationSeparator" w:id="0">
    <w:p w:rsidR="0088570C" w:rsidRDefault="0088570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E2F3B" w:rsidRDefault="004E2F3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E2F3B" w:rsidRDefault="004E2F3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E2F3B" w:rsidRDefault="004E2F3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2F3B"/>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8570C"/>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1B90"/>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10F55-0F53-429D-B783-E1004479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1301</Words>
  <Characters>7420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2026-03-27T05:22:00Z</dcterms:created>
  <dcterms:modified xsi:type="dcterms:W3CDTF">2026-03-27T05:22:00Z</dcterms:modified>
</cp:coreProperties>
</file>