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21.1-03/2256</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F1A3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80AE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Свидетельство о государственной регистрации (ДЕЗСРЕДСТВА)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80AE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80AE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2"/>
        <w:gridCol w:w="970"/>
        <w:gridCol w:w="2951"/>
        <w:gridCol w:w="1160"/>
        <w:gridCol w:w="992"/>
        <w:gridCol w:w="1417"/>
        <w:gridCol w:w="2410"/>
        <w:gridCol w:w="851"/>
        <w:gridCol w:w="567"/>
        <w:gridCol w:w="850"/>
        <w:gridCol w:w="567"/>
        <w:gridCol w:w="709"/>
        <w:gridCol w:w="709"/>
      </w:tblGrid>
      <w:tr w:rsidR="00DA19B0" w:rsidRPr="00722B9A" w:rsidTr="006565BA">
        <w:trPr>
          <w:trHeight w:val="2737"/>
        </w:trPr>
        <w:tc>
          <w:tcPr>
            <w:tcW w:w="425" w:type="dxa"/>
            <w:shd w:val="clear" w:color="FFFFCC" w:fill="FFFFFF"/>
            <w:hideMark/>
          </w:tcPr>
          <w:p w:rsidR="00DA19B0" w:rsidRPr="002F4936" w:rsidRDefault="00DA19B0" w:rsidP="00ED4A4C">
            <w:pPr>
              <w:spacing w:after="0" w:line="240" w:lineRule="auto"/>
              <w:jc w:val="center"/>
              <w:rPr>
                <w:rFonts w:ascii="Times New Roman" w:eastAsia="Times New Roman" w:hAnsi="Times New Roman" w:cs="Times New Roman"/>
                <w:b/>
                <w:color w:val="000000"/>
                <w:sz w:val="14"/>
                <w:szCs w:val="14"/>
                <w:lang w:eastAsia="ru-RU"/>
              </w:rPr>
            </w:pPr>
            <w:r w:rsidRPr="002F4936">
              <w:rPr>
                <w:rFonts w:ascii="Times New Roman" w:eastAsia="Times New Roman" w:hAnsi="Times New Roman" w:cs="Times New Roman"/>
                <w:b/>
                <w:color w:val="000000"/>
                <w:sz w:val="14"/>
                <w:szCs w:val="14"/>
                <w:lang w:eastAsia="ru-RU"/>
              </w:rPr>
              <w:t>№</w:t>
            </w:r>
          </w:p>
        </w:tc>
        <w:tc>
          <w:tcPr>
            <w:tcW w:w="1412" w:type="dxa"/>
            <w:shd w:val="clear" w:color="auto" w:fill="auto"/>
            <w:hideMark/>
          </w:tcPr>
          <w:p w:rsidR="00DA19B0" w:rsidRPr="002F4936" w:rsidRDefault="00DA19B0" w:rsidP="00ED4A4C">
            <w:pPr>
              <w:spacing w:after="0" w:line="240" w:lineRule="auto"/>
              <w:jc w:val="center"/>
              <w:rPr>
                <w:rFonts w:ascii="Times New Roman" w:eastAsia="Times New Roman" w:hAnsi="Times New Roman" w:cs="Times New Roman"/>
                <w:b/>
                <w:color w:val="000000"/>
                <w:sz w:val="14"/>
                <w:szCs w:val="14"/>
                <w:lang w:eastAsia="ru-RU"/>
              </w:rPr>
            </w:pPr>
            <w:r w:rsidRPr="002F4936">
              <w:rPr>
                <w:rFonts w:ascii="Times New Roman" w:eastAsia="Times New Roman" w:hAnsi="Times New Roman" w:cs="Times New Roman"/>
                <w:b/>
                <w:color w:val="000000"/>
                <w:sz w:val="14"/>
                <w:szCs w:val="14"/>
                <w:lang w:eastAsia="ru-RU"/>
              </w:rPr>
              <w:t>Наименование товара</w:t>
            </w:r>
          </w:p>
        </w:tc>
        <w:tc>
          <w:tcPr>
            <w:tcW w:w="970" w:type="dxa"/>
            <w:shd w:val="clear" w:color="auto" w:fill="auto"/>
            <w:vAlign w:val="center"/>
          </w:tcPr>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r w:rsidRPr="002F4936">
              <w:rPr>
                <w:rFonts w:ascii="Times New Roman" w:eastAsia="Times New Roman" w:hAnsi="Times New Roman" w:cs="Times New Roman"/>
                <w:b/>
                <w:bCs/>
                <w:iCs/>
                <w:color w:val="000000"/>
                <w:sz w:val="14"/>
                <w:szCs w:val="14"/>
                <w:lang w:eastAsia="ru-RU"/>
              </w:rPr>
              <w:t>Код</w:t>
            </w: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r w:rsidRPr="002F4936">
              <w:rPr>
                <w:rFonts w:ascii="Times New Roman" w:eastAsia="Times New Roman" w:hAnsi="Times New Roman" w:cs="Times New Roman"/>
                <w:b/>
                <w:bCs/>
                <w:iCs/>
                <w:color w:val="000000"/>
                <w:sz w:val="14"/>
                <w:szCs w:val="14"/>
                <w:lang w:eastAsia="ru-RU"/>
              </w:rPr>
              <w:t>КТРУ/</w:t>
            </w:r>
          </w:p>
          <w:p w:rsidR="00DA19B0"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r w:rsidRPr="002F4936">
              <w:rPr>
                <w:rFonts w:ascii="Times New Roman" w:eastAsia="Times New Roman" w:hAnsi="Times New Roman" w:cs="Times New Roman"/>
                <w:b/>
                <w:bCs/>
                <w:iCs/>
                <w:color w:val="000000"/>
                <w:sz w:val="14"/>
                <w:szCs w:val="14"/>
                <w:lang w:eastAsia="ru-RU"/>
              </w:rPr>
              <w:t>ОКПД2</w:t>
            </w:r>
          </w:p>
          <w:p w:rsidR="00DA19B0"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Cs/>
                <w:color w:val="000000"/>
                <w:sz w:val="14"/>
                <w:szCs w:val="14"/>
                <w:lang w:eastAsia="ru-RU"/>
              </w:rPr>
            </w:pPr>
          </w:p>
          <w:p w:rsidR="00DA19B0" w:rsidRPr="002F4936" w:rsidRDefault="00DA19B0" w:rsidP="00ED4A4C">
            <w:pPr>
              <w:spacing w:after="0" w:line="240" w:lineRule="auto"/>
              <w:jc w:val="center"/>
              <w:rPr>
                <w:rFonts w:ascii="Times New Roman" w:eastAsia="Times New Roman" w:hAnsi="Times New Roman" w:cs="Times New Roman"/>
                <w:b/>
                <w:bCs/>
                <w:i/>
                <w:iCs/>
                <w:color w:val="000000"/>
                <w:sz w:val="14"/>
                <w:szCs w:val="14"/>
                <w:lang w:eastAsia="ru-RU"/>
              </w:rPr>
            </w:pPr>
          </w:p>
        </w:tc>
        <w:tc>
          <w:tcPr>
            <w:tcW w:w="2951" w:type="dxa"/>
            <w:shd w:val="clear" w:color="auto" w:fill="auto"/>
            <w:hideMark/>
          </w:tcPr>
          <w:p w:rsidR="00DA19B0" w:rsidRPr="002F4936" w:rsidRDefault="00DA19B0" w:rsidP="00ED4A4C">
            <w:pPr>
              <w:spacing w:after="0" w:line="240" w:lineRule="auto"/>
              <w:rPr>
                <w:rFonts w:ascii="Times New Roman" w:eastAsia="Times New Roman" w:hAnsi="Times New Roman" w:cs="Times New Roman"/>
                <w:color w:val="000000"/>
                <w:sz w:val="14"/>
                <w:szCs w:val="14"/>
                <w:lang w:eastAsia="ru-RU"/>
              </w:rPr>
            </w:pPr>
            <w:r w:rsidRPr="002F4936">
              <w:rPr>
                <w:rFonts w:ascii="Times New Roman" w:eastAsia="Times New Roman" w:hAnsi="Times New Roman" w:cs="Times New Roman"/>
                <w:b/>
                <w:bCs/>
                <w:sz w:val="14"/>
                <w:szCs w:val="14"/>
                <w:lang w:eastAsia="ru-RU"/>
              </w:rPr>
              <w:t>Наименование характеристики</w:t>
            </w:r>
          </w:p>
        </w:tc>
        <w:tc>
          <w:tcPr>
            <w:tcW w:w="1160" w:type="dxa"/>
            <w:shd w:val="clear" w:color="auto" w:fill="auto"/>
            <w:hideMark/>
          </w:tcPr>
          <w:p w:rsidR="00DA19B0" w:rsidRPr="002F4936"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F4936">
              <w:rPr>
                <w:rFonts w:ascii="Times New Roman" w:eastAsia="Times New Roman" w:hAnsi="Times New Roman" w:cs="Times New Roman"/>
                <w:b/>
                <w:bCs/>
                <w:sz w:val="14"/>
                <w:szCs w:val="14"/>
                <w:lang w:eastAsia="ru-RU"/>
              </w:rPr>
              <w:t>Значение характеристики</w:t>
            </w:r>
            <w:r w:rsidRPr="002F4936">
              <w:rPr>
                <w:rFonts w:ascii="Times New Roman" w:eastAsia="Times New Roman" w:hAnsi="Times New Roman" w:cs="Times New Roman"/>
                <w:b/>
                <w:color w:val="000000"/>
                <w:sz w:val="14"/>
                <w:szCs w:val="14"/>
                <w:lang w:eastAsia="ru-RU"/>
              </w:rPr>
              <w:t xml:space="preserve"> показателя</w:t>
            </w:r>
          </w:p>
        </w:tc>
        <w:tc>
          <w:tcPr>
            <w:tcW w:w="992" w:type="dxa"/>
            <w:shd w:val="clear" w:color="auto" w:fill="auto"/>
          </w:tcPr>
          <w:p w:rsidR="00DA19B0" w:rsidRPr="0005097C" w:rsidRDefault="00DA19B0" w:rsidP="00ED4A4C">
            <w:pPr>
              <w:spacing w:after="0" w:line="240" w:lineRule="auto"/>
              <w:jc w:val="center"/>
              <w:rPr>
                <w:rFonts w:ascii="Times New Roman" w:eastAsia="Times New Roman" w:hAnsi="Times New Roman" w:cs="Times New Roman"/>
                <w:b/>
                <w:color w:val="000000"/>
                <w:sz w:val="14"/>
                <w:szCs w:val="14"/>
                <w:lang w:eastAsia="ru-RU"/>
              </w:rPr>
            </w:pPr>
            <w:r w:rsidRPr="0005097C">
              <w:rPr>
                <w:rFonts w:ascii="Times New Roman" w:eastAsia="Times New Roman" w:hAnsi="Times New Roman" w:cs="Times New Roman"/>
                <w:b/>
                <w:color w:val="000000"/>
                <w:sz w:val="14"/>
                <w:szCs w:val="14"/>
                <w:lang w:eastAsia="ru-RU"/>
              </w:rPr>
              <w:t>Единица</w:t>
            </w:r>
          </w:p>
          <w:p w:rsidR="00DA19B0" w:rsidRPr="00DD428D"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05097C">
              <w:rPr>
                <w:rFonts w:ascii="Times New Roman" w:eastAsia="Times New Roman" w:hAnsi="Times New Roman" w:cs="Times New Roman"/>
                <w:b/>
                <w:color w:val="000000"/>
                <w:sz w:val="14"/>
                <w:szCs w:val="14"/>
                <w:lang w:eastAsia="ru-RU"/>
              </w:rPr>
              <w:t>измерения характеристики</w:t>
            </w:r>
          </w:p>
        </w:tc>
        <w:tc>
          <w:tcPr>
            <w:tcW w:w="1417" w:type="dxa"/>
            <w:shd w:val="clear" w:color="auto" w:fill="auto"/>
          </w:tcPr>
          <w:p w:rsidR="00DA19B0" w:rsidRPr="00DD428D"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DD428D">
              <w:rPr>
                <w:rFonts w:ascii="Times New Roman" w:eastAsia="Times New Roman" w:hAnsi="Times New Roman" w:cs="Times New Roman"/>
                <w:b/>
                <w:bCs/>
                <w:sz w:val="14"/>
                <w:szCs w:val="14"/>
                <w:lang w:eastAsia="ru-RU"/>
              </w:rPr>
              <w:t>Инструкция по заполнению характеристик в заявке</w:t>
            </w:r>
          </w:p>
        </w:tc>
        <w:tc>
          <w:tcPr>
            <w:tcW w:w="2410" w:type="dxa"/>
            <w:shd w:val="clear" w:color="auto" w:fill="auto"/>
          </w:tcPr>
          <w:p w:rsidR="00DA19B0" w:rsidRPr="00DD428D"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DD428D">
              <w:rPr>
                <w:rFonts w:ascii="Times New Roman" w:eastAsia="Times New Roman" w:hAnsi="Times New Roman" w:cs="Times New Roman"/>
                <w:b/>
                <w:bCs/>
                <w:sz w:val="14"/>
                <w:szCs w:val="14"/>
                <w:lang w:eastAsia="ru-RU"/>
              </w:rPr>
              <w:t>Обоснование дополнительных характеристик, не используемых в КТРУ</w:t>
            </w:r>
          </w:p>
        </w:tc>
        <w:tc>
          <w:tcPr>
            <w:tcW w:w="851" w:type="dxa"/>
            <w:shd w:val="clear" w:color="auto" w:fill="auto"/>
            <w:textDirection w:val="btLr"/>
            <w:vAlign w:val="center"/>
            <w:hideMark/>
          </w:tcPr>
          <w:p w:rsidR="00DA19B0" w:rsidRPr="00DD428D" w:rsidRDefault="00DA19B0" w:rsidP="00ED4A4C">
            <w:pPr>
              <w:spacing w:after="0" w:line="240" w:lineRule="auto"/>
              <w:jc w:val="center"/>
              <w:rPr>
                <w:rFonts w:ascii="Times New Roman" w:eastAsia="Times New Roman" w:hAnsi="Times New Roman" w:cs="Times New Roman"/>
                <w:b/>
                <w:color w:val="000000"/>
                <w:sz w:val="14"/>
                <w:szCs w:val="14"/>
                <w:lang w:eastAsia="ru-RU"/>
              </w:rPr>
            </w:pPr>
            <w:r w:rsidRPr="00DD428D">
              <w:rPr>
                <w:rFonts w:ascii="Times New Roman" w:eastAsia="Times New Roman" w:hAnsi="Times New Roman" w:cs="Times New Roman"/>
                <w:b/>
                <w:color w:val="000000"/>
                <w:sz w:val="14"/>
                <w:szCs w:val="14"/>
                <w:lang w:eastAsia="ru-RU"/>
              </w:rPr>
              <w:t>Единица измерения</w:t>
            </w:r>
          </w:p>
        </w:tc>
        <w:tc>
          <w:tcPr>
            <w:tcW w:w="567" w:type="dxa"/>
            <w:shd w:val="clear" w:color="auto" w:fill="auto"/>
            <w:textDirection w:val="btLr"/>
            <w:vAlign w:val="center"/>
            <w:hideMark/>
          </w:tcPr>
          <w:p w:rsidR="00DA19B0" w:rsidRPr="00DD428D" w:rsidRDefault="00DA19B0" w:rsidP="00ED4A4C">
            <w:pPr>
              <w:spacing w:after="0" w:line="240" w:lineRule="auto"/>
              <w:jc w:val="center"/>
              <w:rPr>
                <w:rFonts w:ascii="Times New Roman" w:eastAsia="Times New Roman" w:hAnsi="Times New Roman" w:cs="Times New Roman"/>
                <w:b/>
                <w:color w:val="000000"/>
                <w:sz w:val="14"/>
                <w:szCs w:val="14"/>
                <w:lang w:eastAsia="ru-RU"/>
              </w:rPr>
            </w:pPr>
            <w:r w:rsidRPr="00DD428D">
              <w:rPr>
                <w:rFonts w:ascii="Times New Roman" w:eastAsia="Times New Roman" w:hAnsi="Times New Roman" w:cs="Times New Roman"/>
                <w:b/>
                <w:color w:val="000000"/>
                <w:sz w:val="14"/>
                <w:szCs w:val="14"/>
                <w:lang w:eastAsia="ru-RU"/>
              </w:rPr>
              <w:t>Количество</w:t>
            </w:r>
          </w:p>
        </w:tc>
        <w:tc>
          <w:tcPr>
            <w:tcW w:w="850" w:type="dxa"/>
            <w:tcBorders>
              <w:top w:val="single" w:sz="4" w:space="0" w:color="000000"/>
              <w:left w:val="nil"/>
              <w:bottom w:val="nil"/>
              <w:right w:val="single" w:sz="4" w:space="0" w:color="000000"/>
            </w:tcBorders>
            <w:shd w:val="clear" w:color="auto" w:fill="FABF8F" w:themeFill="accent6" w:themeFillTint="99"/>
          </w:tcPr>
          <w:p w:rsidR="00DA19B0" w:rsidRPr="00DD428D" w:rsidRDefault="00DA19B0" w:rsidP="00ED4A4C">
            <w:pPr>
              <w:spacing w:after="0" w:line="240" w:lineRule="auto"/>
              <w:jc w:val="center"/>
              <w:rPr>
                <w:rFonts w:ascii="Times New Roman" w:eastAsia="Times New Roman" w:hAnsi="Times New Roman" w:cs="Times New Roman"/>
                <w:b/>
                <w:bCs/>
                <w:color w:val="FABF8F" w:themeColor="accent6" w:themeTint="99"/>
                <w:sz w:val="14"/>
                <w:szCs w:val="14"/>
                <w:lang w:eastAsia="ru-RU"/>
              </w:rPr>
            </w:pPr>
            <w:r w:rsidRPr="00DD428D">
              <w:rPr>
                <w:rFonts w:ascii="Times New Roman" w:eastAsia="Times New Roman" w:hAnsi="Times New Roman" w:cs="Times New Roman"/>
                <w:b/>
                <w:bCs/>
                <w:sz w:val="14"/>
                <w:szCs w:val="14"/>
                <w:lang w:eastAsia="ru-RU"/>
              </w:rPr>
              <w:t>Страна происхождения</w:t>
            </w:r>
          </w:p>
        </w:tc>
        <w:tc>
          <w:tcPr>
            <w:tcW w:w="567" w:type="dxa"/>
            <w:tcBorders>
              <w:top w:val="single" w:sz="4" w:space="0" w:color="000000"/>
              <w:left w:val="nil"/>
              <w:bottom w:val="nil"/>
              <w:right w:val="single" w:sz="4" w:space="0" w:color="000000"/>
            </w:tcBorders>
            <w:shd w:val="clear" w:color="auto" w:fill="FABF8F" w:themeFill="accent6" w:themeFillTint="99"/>
          </w:tcPr>
          <w:p w:rsidR="00DA19B0" w:rsidRPr="00DD428D" w:rsidRDefault="00DA19B0" w:rsidP="00ED4A4C">
            <w:pPr>
              <w:spacing w:after="0" w:line="240" w:lineRule="auto"/>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НДС%</w:t>
            </w:r>
          </w:p>
        </w:tc>
        <w:tc>
          <w:tcPr>
            <w:tcW w:w="709" w:type="dxa"/>
            <w:tcBorders>
              <w:top w:val="single" w:sz="4" w:space="0" w:color="000000"/>
              <w:left w:val="nil"/>
              <w:bottom w:val="nil"/>
              <w:right w:val="single" w:sz="4" w:space="0" w:color="000000"/>
            </w:tcBorders>
            <w:shd w:val="clear" w:color="auto" w:fill="FABF8F" w:themeFill="accent6" w:themeFillTint="99"/>
          </w:tcPr>
          <w:p w:rsidR="00DA19B0" w:rsidRPr="00DD428D" w:rsidRDefault="00DA19B0" w:rsidP="00ED4A4C">
            <w:pPr>
              <w:spacing w:after="0" w:line="240" w:lineRule="auto"/>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Цена за ед. без НДС</w:t>
            </w:r>
          </w:p>
          <w:p w:rsidR="00DA19B0" w:rsidRPr="00DD428D" w:rsidRDefault="00DA19B0" w:rsidP="00ED4A4C">
            <w:pPr>
              <w:spacing w:after="0" w:line="240" w:lineRule="auto"/>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(руб)</w:t>
            </w:r>
          </w:p>
        </w:tc>
        <w:tc>
          <w:tcPr>
            <w:tcW w:w="709" w:type="dxa"/>
            <w:tcBorders>
              <w:top w:val="single" w:sz="4" w:space="0" w:color="000000"/>
              <w:left w:val="nil"/>
              <w:bottom w:val="nil"/>
              <w:right w:val="single" w:sz="4" w:space="0" w:color="000000"/>
            </w:tcBorders>
            <w:shd w:val="clear" w:color="auto" w:fill="FABF8F" w:themeFill="accent6" w:themeFillTint="99"/>
          </w:tcPr>
          <w:p w:rsidR="00DA19B0" w:rsidRPr="00DD428D" w:rsidRDefault="00DA19B0" w:rsidP="00ED4A4C">
            <w:pPr>
              <w:spacing w:after="0" w:line="240" w:lineRule="auto"/>
              <w:jc w:val="center"/>
              <w:rPr>
                <w:rFonts w:ascii="Times New Roman" w:eastAsia="Times New Roman" w:hAnsi="Times New Roman" w:cs="Times New Roman"/>
                <w:b/>
                <w:bCs/>
                <w:sz w:val="14"/>
                <w:szCs w:val="14"/>
                <w:lang w:eastAsia="ru-RU"/>
              </w:rPr>
            </w:pPr>
            <w:r w:rsidRPr="00DD428D">
              <w:rPr>
                <w:rFonts w:ascii="Times New Roman" w:eastAsia="Times New Roman" w:hAnsi="Times New Roman" w:cs="Times New Roman"/>
                <w:b/>
                <w:bCs/>
                <w:sz w:val="14"/>
                <w:szCs w:val="14"/>
                <w:lang w:eastAsia="ru-RU"/>
              </w:rPr>
              <w:t>Сумма без НДС (руб)</w:t>
            </w:r>
          </w:p>
        </w:tc>
      </w:tr>
      <w:tr w:rsidR="00DA19B0" w:rsidRPr="00722B9A" w:rsidTr="006565BA">
        <w:trPr>
          <w:trHeight w:val="204"/>
        </w:trPr>
        <w:tc>
          <w:tcPr>
            <w:tcW w:w="425" w:type="dxa"/>
            <w:vMerge w:val="restart"/>
          </w:tcPr>
          <w:p w:rsidR="00DA19B0" w:rsidRPr="00722B9A" w:rsidRDefault="006565BA"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1412" w:type="dxa"/>
            <w:vMerge w:val="restart"/>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Средство дезинфицирующее</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970"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20.20.14.000-00000005</w:t>
            </w:r>
            <w:r>
              <w:rPr>
                <w:rFonts w:ascii="Times New Roman" w:eastAsia="Times New Roman" w:hAnsi="Times New Roman" w:cs="Times New Roman"/>
                <w:color w:val="000000"/>
                <w:sz w:val="14"/>
                <w:szCs w:val="14"/>
                <w:lang w:eastAsia="ru-RU"/>
              </w:rPr>
              <w:t>*</w:t>
            </w: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Форма выпуска: </w:t>
            </w:r>
          </w:p>
        </w:tc>
        <w:tc>
          <w:tcPr>
            <w:tcW w:w="1160" w:type="dxa"/>
            <w:shd w:val="clear" w:color="FFFFCC"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92" w:type="dxa"/>
            <w:shd w:val="clear" w:color="000000" w:fill="FFFFFF"/>
          </w:tcPr>
          <w:p w:rsidR="00DA19B0" w:rsidRPr="004627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46279A">
              <w:rPr>
                <w:rFonts w:ascii="Times New Roman" w:eastAsia="Times New Roman" w:hAnsi="Times New Roman" w:cs="Times New Roman"/>
                <w:sz w:val="14"/>
                <w:szCs w:val="14"/>
                <w:lang w:eastAsia="ru-RU"/>
              </w:rPr>
              <w:t>Литр;^кубический дециметр</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Жидкость</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согласно КТРУ</w:t>
            </w:r>
          </w:p>
        </w:tc>
        <w:tc>
          <w:tcPr>
            <w:tcW w:w="851"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Литр;^кубический дециметр</w:t>
            </w:r>
          </w:p>
        </w:tc>
        <w:tc>
          <w:tcPr>
            <w:tcW w:w="567" w:type="dxa"/>
            <w:vMerge w:val="restart"/>
          </w:tcPr>
          <w:p w:rsidR="00DA19B0" w:rsidRPr="00722B9A" w:rsidRDefault="006565BA" w:rsidP="00ED4A4C">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409,5</w:t>
            </w:r>
          </w:p>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2951" w:type="dxa"/>
            <w:vMerge w:val="restart"/>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Средство дезинфицирующее</w:t>
            </w:r>
          </w:p>
        </w:tc>
        <w:tc>
          <w:tcPr>
            <w:tcW w:w="1160" w:type="dxa"/>
            <w:vMerge w:val="restart"/>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992" w:type="dxa"/>
            <w:vMerge w:val="restart"/>
            <w:shd w:val="clear" w:color="000000" w:fill="FFFFFF"/>
          </w:tcPr>
          <w:p w:rsidR="00DA19B0" w:rsidRPr="004627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ГОСТ Р 56990–2016.</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160" w:type="dxa"/>
            <w:vMerge/>
            <w:shd w:val="clear" w:color="FFFFCC"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92"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7"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410" w:type="dxa"/>
            <w:shd w:val="clear" w:color="000000" w:fill="FFFFFF"/>
          </w:tcPr>
          <w:p w:rsidR="00DA19B0" w:rsidRPr="00722B9A" w:rsidRDefault="00DA19B0" w:rsidP="006565BA">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ГОСТ Р 58151.1–2018</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930" w:type="dxa"/>
            <w:gridSpan w:val="5"/>
            <w:shd w:val="clear" w:color="000000" w:fill="FFFFFF"/>
          </w:tcPr>
          <w:p w:rsidR="00DA19B0" w:rsidRPr="0046279A" w:rsidRDefault="00DA19B0" w:rsidP="00ED4A4C">
            <w:pPr>
              <w:spacing w:after="0" w:line="240" w:lineRule="auto"/>
              <w:rPr>
                <w:rFonts w:ascii="Times New Roman" w:eastAsia="Times New Roman" w:hAnsi="Times New Roman" w:cs="Times New Roman"/>
                <w:b/>
                <w:color w:val="000000"/>
                <w:sz w:val="14"/>
                <w:szCs w:val="14"/>
                <w:lang w:eastAsia="ru-RU"/>
              </w:rPr>
            </w:pPr>
            <w:r w:rsidRPr="0046279A">
              <w:rPr>
                <w:rFonts w:ascii="Times New Roman" w:eastAsia="Times New Roman" w:hAnsi="Times New Roman" w:cs="Times New Roman"/>
                <w:b/>
                <w:color w:val="000000"/>
                <w:sz w:val="14"/>
                <w:szCs w:val="14"/>
                <w:lang w:eastAsia="ru-RU"/>
              </w:rPr>
              <w:t>Дополнительные характеристики:</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Дезинфицирующее средство в виде готового раствора содержит в своем составе дидецилдиметиламмония хлорид или дидецилметилполиэтоксиаммонияпропионат</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Не менее 0,05</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ФКР по выбору химических средств дезинфекции и стерилизации для использования в МО (протокол № 4 от 20.11.2014г. профильной комиссии Минздрава России по эпидемиологии).  СанПиН 3.3686-21 п.91,3545, 3583.</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Обусловлено необходимостью обработки высокочувствительного медицинского оборудования, имеющегося в учреждении.</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Содержание спиртов (1-пропанола и/или 2-пропанола) в сост</w:t>
            </w:r>
            <w:r>
              <w:rPr>
                <w:rFonts w:ascii="Times New Roman" w:eastAsia="Times New Roman" w:hAnsi="Times New Roman" w:cs="Times New Roman"/>
                <w:color w:val="000000"/>
                <w:sz w:val="14"/>
                <w:szCs w:val="14"/>
                <w:lang w:eastAsia="ru-RU"/>
              </w:rPr>
              <w:t>аве дезинфицирующего средства</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Не менее 50 и не более 60</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Дезинфицирующее средство не содержит в своем состав:.альдегиды, амины, производные фенола, этиловый спирт, производные гуанидина, гексидины</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highlight w:val="yellow"/>
                <w:lang w:eastAsia="ru-RU"/>
              </w:rPr>
            </w:pPr>
            <w:r w:rsidRPr="00722B9A">
              <w:rPr>
                <w:rFonts w:ascii="Times New Roman" w:eastAsia="Times New Roman" w:hAnsi="Times New Roman" w:cs="Times New Roman"/>
                <w:color w:val="000000"/>
                <w:sz w:val="14"/>
                <w:szCs w:val="14"/>
                <w:lang w:eastAsia="ru-RU"/>
              </w:rPr>
              <w:t>Обусловлено необходимостью снижения токсикологической нагрузки на медицинский персонал. А также необходимостью обработки высокочувствительного медицинского оборудования, имеющегося в учреждении. СанПиН 3.3686-21пункт 125.</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Объем дезинфицирующего средства в упаковке (флакон с распылителем) </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 xml:space="preserve">Не менее 0,75 ли не более 1,0 </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л</w:t>
            </w: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Обусловлено правилами индивидуального использования, утвержденного в ЛПО.</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СанПиН 3.3686-21 п.92, 3555. Значение количества товара в </w:t>
            </w:r>
            <w:r w:rsidRPr="00722B9A">
              <w:rPr>
                <w:rFonts w:ascii="Times New Roman" w:eastAsia="Times New Roman" w:hAnsi="Times New Roman" w:cs="Times New Roman"/>
                <w:color w:val="000000"/>
                <w:sz w:val="14"/>
                <w:szCs w:val="14"/>
                <w:lang w:eastAsia="ru-RU"/>
              </w:rPr>
              <w:lastRenderedPageBreak/>
              <w:t>упаковке (емкости) является важным показателем для Заказчика, с помощью которого производится расчет необходимого количества товара, а также для удобства выдачи и хранения внутри отделений у Заказчика.</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Сфера применения: в медицинских организациях любого профиля, в том числе стоматологических, офтальмологических, детских стационарах, клинических микробиологических и других лабораториях, в машинах скорой помощи, на санитарном транспорте. Применяется для дезинфекции небольших по площади помещений, операционных, смотровых кабинетах, труднодоступных для обработки поверхностей, поверхности медицинских приборов и оборудования (в т.ч. инфузионных станций, шприцевых насосов,  аппаратов искусственного дыхания и оборудования для анестезии, бактерицидных ламп); датчиков диагностического оборудования, стоматологического оборудования (стоматологических наконечников, переходников от турбинного шланга к наконечникам, микромоторов к механическим наконечникам, светодиодов, ламп), моторных систем и их компонентов (насадок и\или наконечников, переходников и адапторов, кабелей и шлангов, блоков и консолей к ним), поверхностных датчиков диагностического оборудования (УЗИ), столов, в т.ч. операционных, манипуляционных, стоматологических кресел, предметов ухода за больными, обуви.</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Обусловлено необходимостью оказания учреждением медицинских услуг, отвечающих требованиям безопасности жизни или здоровья потребителей.</w:t>
            </w:r>
          </w:p>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СанПиН 3.3686-21 п. 91</w:t>
            </w:r>
          </w:p>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Экспозиция при дезинфекции в отнош</w:t>
            </w:r>
            <w:r>
              <w:rPr>
                <w:rFonts w:ascii="Times New Roman" w:eastAsia="Times New Roman" w:hAnsi="Times New Roman" w:cs="Times New Roman"/>
                <w:color w:val="000000"/>
                <w:sz w:val="14"/>
                <w:szCs w:val="14"/>
                <w:lang w:eastAsia="ru-RU"/>
              </w:rPr>
              <w:t>ении бактериальных инфекций</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Не более 1</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мин</w:t>
            </w: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highlight w:val="yellow"/>
                <w:lang w:eastAsia="ru-RU"/>
              </w:rPr>
            </w:pPr>
            <w:r w:rsidRPr="00722B9A">
              <w:rPr>
                <w:rFonts w:ascii="Times New Roman" w:eastAsia="Times New Roman" w:hAnsi="Times New Roman" w:cs="Times New Roman"/>
                <w:color w:val="000000"/>
                <w:sz w:val="14"/>
                <w:szCs w:val="14"/>
                <w:lang w:eastAsia="ru-RU"/>
              </w:rPr>
              <w:t>Обусловлено необходимостью обеспечения комплекса мер по профилактике инфекций, связанных с оказанием медицинской помощи (обеспечения безопасности пациентов и персонала медицинского учреждения), соблюдения режимов дезинфекции, минимизации затрат по времени (исключение простоев в работе медицинского персонала учреждения)</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Экспозиция при дезинфекции в от</w:t>
            </w:r>
            <w:r>
              <w:rPr>
                <w:rFonts w:ascii="Times New Roman" w:eastAsia="Times New Roman" w:hAnsi="Times New Roman" w:cs="Times New Roman"/>
                <w:color w:val="000000"/>
                <w:sz w:val="14"/>
                <w:szCs w:val="14"/>
                <w:lang w:eastAsia="ru-RU"/>
              </w:rPr>
              <w:t>ношении грибковых инфекций</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val="en-US" w:eastAsia="ru-RU"/>
              </w:rPr>
            </w:pPr>
            <w:r w:rsidRPr="00722B9A">
              <w:rPr>
                <w:rFonts w:ascii="Times New Roman" w:eastAsia="Times New Roman" w:hAnsi="Times New Roman" w:cs="Times New Roman"/>
                <w:color w:val="000000"/>
                <w:sz w:val="14"/>
                <w:szCs w:val="14"/>
                <w:lang w:eastAsia="ru-RU"/>
              </w:rPr>
              <w:t xml:space="preserve">Не более </w:t>
            </w:r>
            <w:r w:rsidRPr="00722B9A">
              <w:rPr>
                <w:rFonts w:ascii="Times New Roman" w:eastAsia="Times New Roman" w:hAnsi="Times New Roman" w:cs="Times New Roman"/>
                <w:color w:val="000000"/>
                <w:sz w:val="14"/>
                <w:szCs w:val="14"/>
                <w:lang w:val="en-US" w:eastAsia="ru-RU"/>
              </w:rPr>
              <w:t>3</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мин</w:t>
            </w: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Экспозиция при дезинфекции в отношении вирусных, в том числе туберкулез, инфекций</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val="en-US" w:eastAsia="ru-RU"/>
              </w:rPr>
            </w:pPr>
            <w:r w:rsidRPr="00722B9A">
              <w:rPr>
                <w:rFonts w:ascii="Times New Roman" w:eastAsia="Times New Roman" w:hAnsi="Times New Roman" w:cs="Times New Roman"/>
                <w:color w:val="000000"/>
                <w:sz w:val="14"/>
                <w:szCs w:val="14"/>
                <w:lang w:eastAsia="ru-RU"/>
              </w:rPr>
              <w:t xml:space="preserve">Не более </w:t>
            </w:r>
            <w:r w:rsidRPr="00722B9A">
              <w:rPr>
                <w:rFonts w:ascii="Times New Roman" w:eastAsia="Times New Roman" w:hAnsi="Times New Roman" w:cs="Times New Roman"/>
                <w:color w:val="000000"/>
                <w:sz w:val="14"/>
                <w:szCs w:val="14"/>
                <w:lang w:val="en-US" w:eastAsia="ru-RU"/>
              </w:rPr>
              <w:t>5</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Целевая активность: бактерицидное действие в отношении грамотрицательных и грамположительных бактерий, в том числе возбудителей внутрибольничных инфекций, </w:t>
            </w:r>
            <w:r w:rsidRPr="00722B9A">
              <w:rPr>
                <w:rFonts w:ascii="Times New Roman" w:eastAsia="Times New Roman" w:hAnsi="Times New Roman" w:cs="Times New Roman"/>
                <w:color w:val="000000"/>
                <w:sz w:val="14"/>
                <w:szCs w:val="14"/>
                <w:lang w:eastAsia="ru-RU"/>
              </w:rPr>
              <w:lastRenderedPageBreak/>
              <w:t>микобактерий туберкулеза (тестировано на M.terrae). Вирулицидное действие (включая вирусы полиомиелита, вирусы парентеральных гепатитов, ВИЧ-инфекции и др.). Фунгицидная активность в отношении грибов родов Кандида, Трихофитон.</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lastRenderedPageBreak/>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 xml:space="preserve">Значение характеристики не может изменяться участником </w:t>
            </w:r>
            <w:r w:rsidRPr="0022653C">
              <w:rPr>
                <w:rFonts w:ascii="Times New Roman" w:eastAsia="Times New Roman" w:hAnsi="Times New Roman" w:cs="Times New Roman"/>
                <w:sz w:val="14"/>
                <w:szCs w:val="14"/>
                <w:lang w:eastAsia="ru-RU"/>
              </w:rPr>
              <w:lastRenderedPageBreak/>
              <w:t>закупки</w:t>
            </w:r>
          </w:p>
        </w:tc>
        <w:tc>
          <w:tcPr>
            <w:tcW w:w="2410"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lastRenderedPageBreak/>
              <w:t xml:space="preserve">ГОСТ Р 56990-2016,  СанПиН 3.3686-21 </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По параметрам острой токсичности относится к 4 классу опасности веществ ("малоопасные") при введении в желудок и нанесении на кожу</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ГОСТ 12.1.007-76 «Система стандартов безопасности труда (ССБТ). </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val="restart"/>
          </w:tcPr>
          <w:p w:rsidR="00DA19B0" w:rsidRPr="00722B9A" w:rsidRDefault="006565BA"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1412" w:type="dxa"/>
            <w:vMerge w:val="restart"/>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Средство дезинфицирующее</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970"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20.20.14.000-00000005</w:t>
            </w:r>
            <w:r>
              <w:rPr>
                <w:rFonts w:ascii="Times New Roman" w:eastAsia="Times New Roman" w:hAnsi="Times New Roman" w:cs="Times New Roman"/>
                <w:color w:val="000000"/>
                <w:sz w:val="14"/>
                <w:szCs w:val="14"/>
                <w:lang w:eastAsia="ru-RU"/>
              </w:rPr>
              <w:t>*</w:t>
            </w: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Форма выпуска: </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Жидкость</w:t>
            </w:r>
          </w:p>
        </w:tc>
        <w:tc>
          <w:tcPr>
            <w:tcW w:w="992" w:type="dxa"/>
            <w:shd w:val="clear" w:color="000000" w:fill="FFFFFF"/>
          </w:tcPr>
          <w:p w:rsidR="00DA19B0" w:rsidRPr="00AE3AA5"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AE3AA5">
              <w:rPr>
                <w:rFonts w:ascii="Times New Roman" w:eastAsia="Times New Roman" w:hAnsi="Times New Roman" w:cs="Times New Roman"/>
                <w:sz w:val="14"/>
                <w:szCs w:val="14"/>
                <w:lang w:eastAsia="ru-RU"/>
              </w:rPr>
              <w:t>Литр;^кубический дециметр</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согласно КТРУ</w:t>
            </w:r>
          </w:p>
        </w:tc>
        <w:tc>
          <w:tcPr>
            <w:tcW w:w="851" w:type="dxa"/>
            <w:vMerge w:val="restart"/>
          </w:tcPr>
          <w:p w:rsidR="00DA19B0" w:rsidRPr="00AE3AA5" w:rsidRDefault="00DA19B0" w:rsidP="00ED4A4C">
            <w:pPr>
              <w:spacing w:after="0" w:line="240" w:lineRule="auto"/>
              <w:rPr>
                <w:rFonts w:ascii="Times New Roman" w:eastAsia="Times New Roman" w:hAnsi="Times New Roman" w:cs="Times New Roman"/>
                <w:color w:val="000000"/>
                <w:sz w:val="14"/>
                <w:szCs w:val="14"/>
                <w:lang w:eastAsia="ru-RU"/>
              </w:rPr>
            </w:pPr>
            <w:r w:rsidRPr="00AE3AA5">
              <w:rPr>
                <w:rFonts w:ascii="Times New Roman" w:eastAsia="Times New Roman" w:hAnsi="Times New Roman" w:cs="Times New Roman"/>
                <w:color w:val="000000"/>
                <w:sz w:val="14"/>
                <w:szCs w:val="14"/>
                <w:lang w:eastAsia="ru-RU"/>
              </w:rPr>
              <w:t>Литр;^кубический дециметр</w:t>
            </w:r>
          </w:p>
        </w:tc>
        <w:tc>
          <w:tcPr>
            <w:tcW w:w="567" w:type="dxa"/>
            <w:vMerge w:val="restart"/>
          </w:tcPr>
          <w:p w:rsidR="00DA19B0" w:rsidRPr="00AE3AA5" w:rsidRDefault="006565BA"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1290</w:t>
            </w:r>
          </w:p>
        </w:tc>
        <w:tc>
          <w:tcPr>
            <w:tcW w:w="850"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567"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2951" w:type="dxa"/>
            <w:vMerge w:val="restart"/>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Средство дезинфицирующее</w:t>
            </w:r>
          </w:p>
        </w:tc>
        <w:tc>
          <w:tcPr>
            <w:tcW w:w="1160" w:type="dxa"/>
            <w:vMerge w:val="restart"/>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992"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ГОСТ Р 56990–2016.</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160" w:type="dxa"/>
            <w:vMerge/>
            <w:shd w:val="clear" w:color="FFFFCC"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92"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7"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ГОСТ Р 58151.1–2018</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930" w:type="dxa"/>
            <w:gridSpan w:val="5"/>
            <w:shd w:val="clear" w:color="000000" w:fill="FFFFFF"/>
          </w:tcPr>
          <w:p w:rsidR="00DA19B0" w:rsidRPr="0024266B" w:rsidRDefault="00DA19B0" w:rsidP="00ED4A4C">
            <w:pPr>
              <w:spacing w:after="0" w:line="240" w:lineRule="auto"/>
              <w:rPr>
                <w:rFonts w:ascii="Times New Roman" w:eastAsia="Times New Roman" w:hAnsi="Times New Roman" w:cs="Times New Roman"/>
                <w:b/>
                <w:color w:val="000000"/>
                <w:sz w:val="14"/>
                <w:szCs w:val="14"/>
                <w:lang w:eastAsia="ru-RU"/>
              </w:rPr>
            </w:pPr>
            <w:r>
              <w:rPr>
                <w:rFonts w:ascii="Times New Roman" w:eastAsia="Times New Roman" w:hAnsi="Times New Roman" w:cs="Times New Roman"/>
                <w:b/>
                <w:color w:val="000000"/>
                <w:sz w:val="14"/>
                <w:szCs w:val="14"/>
                <w:lang w:eastAsia="ru-RU"/>
              </w:rPr>
              <w:t>Дополнительные характеристики:</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Кожный антисептик для хирургической и гигиенической обработки рук, кожи инъекционного поля пациентов, локтевых сгибов доноров, кожи перед введением катетеров и пункцией суставов.</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ФКР по выбору химических средств дезинфекции и стерилизации для использования в МО (протокол № 4 от 20.11.2014г. профильной комиссии Минздрава России по эпидемиологии); СанПиН 3.3686-21 п.3478, п.3583)</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6520" w:type="dxa"/>
            <w:gridSpan w:val="4"/>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Состав средства</w:t>
            </w:r>
            <w:r>
              <w:rPr>
                <w:rFonts w:ascii="Times New Roman" w:eastAsia="Times New Roman" w:hAnsi="Times New Roman" w:cs="Times New Roman"/>
                <w:color w:val="000000"/>
                <w:sz w:val="14"/>
                <w:szCs w:val="14"/>
                <w:lang w:eastAsia="ru-RU"/>
              </w:rPr>
              <w:t>:</w:t>
            </w:r>
          </w:p>
        </w:tc>
        <w:tc>
          <w:tcPr>
            <w:tcW w:w="2410"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ФКР по выбору химических средств дезинфекции и стерилизации для использования в МО (протокол № 4 от 20.11.2014г. профильной комиссии Минздрава России по эпидемиологии); СанПиН 3.3686-21 п.91, п.3545)</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Изопропиловый спирт</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не менее 45</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Пропиловый спирт</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не менее 30</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Суммарное содержание спиртов</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не менее 60 и не более 75</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Функциональные компоненты для смягчения кожи рук</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Средство не содержит дополнительные активные ингредиенты: альдегиды, производные фенола, ЧАС, производные </w:t>
            </w:r>
            <w:r w:rsidRPr="00722B9A">
              <w:rPr>
                <w:rFonts w:ascii="Times New Roman" w:eastAsia="Times New Roman" w:hAnsi="Times New Roman" w:cs="Times New Roman"/>
                <w:color w:val="000000"/>
                <w:sz w:val="14"/>
                <w:szCs w:val="14"/>
                <w:lang w:eastAsia="ru-RU"/>
              </w:rPr>
              <w:lastRenderedPageBreak/>
              <w:t>гуанидины, отдушки и красители</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lastRenderedPageBreak/>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 xml:space="preserve">Значение характеристики не может изменяться </w:t>
            </w:r>
            <w:r w:rsidRPr="0022653C">
              <w:rPr>
                <w:rFonts w:ascii="Times New Roman" w:eastAsia="Times New Roman" w:hAnsi="Times New Roman" w:cs="Times New Roman"/>
                <w:sz w:val="14"/>
                <w:szCs w:val="14"/>
                <w:lang w:eastAsia="ru-RU"/>
              </w:rPr>
              <w:lastRenderedPageBreak/>
              <w:t>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lastRenderedPageBreak/>
              <w:t xml:space="preserve">Обусловлено необходимостью снижения токсикологической нагрузки на медицинский персонал. </w:t>
            </w:r>
            <w:r w:rsidRPr="00722B9A">
              <w:rPr>
                <w:rFonts w:ascii="Times New Roman" w:eastAsia="Times New Roman" w:hAnsi="Times New Roman" w:cs="Times New Roman"/>
                <w:color w:val="000000"/>
                <w:sz w:val="14"/>
                <w:szCs w:val="14"/>
                <w:lang w:eastAsia="ru-RU"/>
              </w:rPr>
              <w:lastRenderedPageBreak/>
              <w:t>СанПиН 3.3686-21 п.3478, п.3583</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Обладает антимикробной активностью в отношении грамотрицательных и грамположительных бактерий (включая микобактерии туберкулеза); грибов рода Кандида, вирусов</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ГОСТ Р 56990-2016, СанПиН 3.3686-21 VI. Профилактика ВИЧ-инфекции; VII. Профилактика вирусных гепатитов В и С; Письмо Роспотребнадзора №02/770-2020-32 от 23.01.2020г «Об инструкции по проведению дезинфекционных мероприятий для профилактики заболеваний, вызываемых коронавирусами»; MP 3.1.02.09-20 "Рекомендации Роспотребнадзора по организации противоэпидемического режима в медицинских организациях"</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Средство обладает пролонгированным бактерицидным действием </w:t>
            </w:r>
          </w:p>
        </w:tc>
        <w:tc>
          <w:tcPr>
            <w:tcW w:w="1160"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не менее 3</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час</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Обусловлено необходимостью обеспечения комплекса мер по профилактике инфекций, связанных с оказанием медицинской помощи, соблюдения режимов дезинфекции, минимизации затрат по времени. СанПиН 3.3686-21 п. 3542)</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420"/>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6520" w:type="dxa"/>
            <w:gridSpan w:val="4"/>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Утвержденные режимы применения:</w:t>
            </w:r>
          </w:p>
        </w:tc>
        <w:tc>
          <w:tcPr>
            <w:tcW w:w="2410"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 Время гигиенической обработки рук </w:t>
            </w:r>
          </w:p>
        </w:tc>
        <w:tc>
          <w:tcPr>
            <w:tcW w:w="1160" w:type="dxa"/>
            <w:shd w:val="clear" w:color="FFFFCC"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не более 30</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сек</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 Общее время обработки рук хирургов </w:t>
            </w:r>
          </w:p>
        </w:tc>
        <w:tc>
          <w:tcPr>
            <w:tcW w:w="1160" w:type="dxa"/>
            <w:shd w:val="clear" w:color="FFFFCC"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не более 5</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мин</w:t>
            </w:r>
          </w:p>
        </w:tc>
        <w:tc>
          <w:tcPr>
            <w:tcW w:w="1417"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 xml:space="preserve">Объем дезинфицирующего средства в упаковке (флакон с контролем вскрытия) </w:t>
            </w:r>
          </w:p>
        </w:tc>
        <w:tc>
          <w:tcPr>
            <w:tcW w:w="1160" w:type="dxa"/>
            <w:shd w:val="clear" w:color="FFFFCC"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 xml:space="preserve">Не более 1,0 </w:t>
            </w:r>
          </w:p>
        </w:tc>
        <w:tc>
          <w:tcPr>
            <w:tcW w:w="992"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л</w:t>
            </w:r>
          </w:p>
        </w:tc>
        <w:tc>
          <w:tcPr>
            <w:tcW w:w="1417" w:type="dxa"/>
            <w:shd w:val="clear" w:color="FFFFCC"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Обусловлено правилами индивидуального использования, утвержденного в ЛПО.</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СанПиН 3.3686-21 п.92, 3555.</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для удобства выдачи и хранения внутри отделений у Заказчика.</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val="restart"/>
          </w:tcPr>
          <w:p w:rsidR="00DA19B0" w:rsidRPr="00722B9A" w:rsidRDefault="00133940"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w:t>
            </w:r>
            <w:bookmarkStart w:id="20" w:name="_GoBack"/>
            <w:bookmarkEnd w:id="20"/>
          </w:p>
        </w:tc>
        <w:tc>
          <w:tcPr>
            <w:tcW w:w="1412" w:type="dxa"/>
            <w:vMerge w:val="restart"/>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Средство дезинфицирующее</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970" w:type="dxa"/>
            <w:vMerge w:val="restart"/>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20.20.14.000-00000005</w:t>
            </w:r>
            <w:r>
              <w:rPr>
                <w:rFonts w:ascii="Times New Roman" w:eastAsia="Times New Roman" w:hAnsi="Times New Roman" w:cs="Times New Roman"/>
                <w:color w:val="000000"/>
                <w:sz w:val="14"/>
                <w:szCs w:val="14"/>
                <w:lang w:eastAsia="ru-RU"/>
              </w:rPr>
              <w:t>*</w:t>
            </w: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hAnsi="Times New Roman" w:cs="Times New Roman"/>
                <w:sz w:val="14"/>
                <w:szCs w:val="14"/>
              </w:rPr>
              <w:t xml:space="preserve">Форма выпуска: </w:t>
            </w:r>
          </w:p>
        </w:tc>
        <w:tc>
          <w:tcPr>
            <w:tcW w:w="1160" w:type="dxa"/>
            <w:shd w:val="clear" w:color="FFFFCC" w:fill="FFFFFF"/>
          </w:tcPr>
          <w:p w:rsidR="00DA19B0" w:rsidRPr="00722B9A" w:rsidRDefault="00DA19B0" w:rsidP="00ED4A4C">
            <w:pPr>
              <w:spacing w:after="0" w:line="240" w:lineRule="auto"/>
              <w:jc w:val="center"/>
              <w:rPr>
                <w:rFonts w:ascii="Times New Roman" w:hAnsi="Times New Roman" w:cs="Times New Roman"/>
                <w:sz w:val="14"/>
                <w:szCs w:val="14"/>
              </w:rPr>
            </w:pPr>
            <w:r w:rsidRPr="00722B9A">
              <w:rPr>
                <w:rFonts w:ascii="Times New Roman" w:hAnsi="Times New Roman" w:cs="Times New Roman"/>
                <w:sz w:val="14"/>
                <w:szCs w:val="14"/>
              </w:rPr>
              <w:t>Жидкость</w:t>
            </w:r>
          </w:p>
        </w:tc>
        <w:tc>
          <w:tcPr>
            <w:tcW w:w="992" w:type="dxa"/>
            <w:shd w:val="clear" w:color="000000" w:fill="FFFFFF"/>
          </w:tcPr>
          <w:p w:rsidR="00DA19B0" w:rsidRPr="00701AD9" w:rsidRDefault="00DA19B0" w:rsidP="00ED4A4C">
            <w:pPr>
              <w:spacing w:after="0" w:line="240" w:lineRule="auto"/>
              <w:jc w:val="center"/>
              <w:rPr>
                <w:rFonts w:ascii="Times New Roman" w:hAnsi="Times New Roman" w:cs="Times New Roman"/>
                <w:sz w:val="14"/>
                <w:szCs w:val="14"/>
              </w:rPr>
            </w:pPr>
            <w:r w:rsidRPr="00701AD9">
              <w:rPr>
                <w:rFonts w:ascii="Times New Roman" w:eastAsia="Times New Roman" w:hAnsi="Times New Roman" w:cs="Times New Roman"/>
                <w:sz w:val="14"/>
                <w:szCs w:val="14"/>
                <w:lang w:eastAsia="ru-RU"/>
              </w:rPr>
              <w:t>Литр;^кубический дециметр</w:t>
            </w:r>
          </w:p>
        </w:tc>
        <w:tc>
          <w:tcPr>
            <w:tcW w:w="1417"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hAnsi="Times New Roman" w:cs="Times New Roman"/>
                <w:sz w:val="14"/>
                <w:szCs w:val="14"/>
              </w:rPr>
              <w:t>согласно КТРУ</w:t>
            </w:r>
          </w:p>
        </w:tc>
        <w:tc>
          <w:tcPr>
            <w:tcW w:w="851" w:type="dxa"/>
            <w:vMerge w:val="restart"/>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Литр;^кубический дециметр</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567" w:type="dxa"/>
            <w:vMerge w:val="restart"/>
          </w:tcPr>
          <w:p w:rsidR="00DA19B0" w:rsidRPr="00701AD9" w:rsidRDefault="006565BA" w:rsidP="00ED4A4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179</w:t>
            </w:r>
          </w:p>
        </w:tc>
        <w:tc>
          <w:tcPr>
            <w:tcW w:w="850" w:type="dxa"/>
            <w:vMerge w:val="restart"/>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highlight w:val="yellow"/>
                <w:lang w:eastAsia="ru-RU"/>
              </w:rPr>
            </w:pPr>
          </w:p>
        </w:tc>
        <w:tc>
          <w:tcPr>
            <w:tcW w:w="567"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val="restart"/>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Средство дезинфицирующее</w:t>
            </w:r>
          </w:p>
        </w:tc>
        <w:tc>
          <w:tcPr>
            <w:tcW w:w="1160" w:type="dxa"/>
            <w:shd w:val="clear" w:color="FFFFCC" w:fill="FFFFFF"/>
          </w:tcPr>
          <w:p w:rsidR="00DA19B0" w:rsidRPr="00722B9A" w:rsidRDefault="00DA19B0" w:rsidP="00ED4A4C">
            <w:pPr>
              <w:spacing w:after="0" w:line="240" w:lineRule="auto"/>
              <w:jc w:val="center"/>
              <w:rPr>
                <w:rFonts w:ascii="Times New Roman" w:hAnsi="Times New Roman" w:cs="Times New Roman"/>
                <w:sz w:val="14"/>
                <w:szCs w:val="14"/>
              </w:rPr>
            </w:pPr>
            <w:r w:rsidRPr="00722B9A">
              <w:rPr>
                <w:rFonts w:ascii="Times New Roman" w:hAnsi="Times New Roman" w:cs="Times New Roman"/>
                <w:sz w:val="14"/>
                <w:szCs w:val="14"/>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p>
        </w:tc>
        <w:tc>
          <w:tcPr>
            <w:tcW w:w="1417"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r w:rsidRPr="0022653C">
              <w:rPr>
                <w:rFonts w:ascii="Times New Roman" w:eastAsia="Times New Roman" w:hAnsi="Times New Roman" w:cs="Times New Roman"/>
                <w:sz w:val="14"/>
                <w:szCs w:val="14"/>
                <w:lang w:eastAsia="ru-RU"/>
              </w:rPr>
              <w:t xml:space="preserve">Значение характеристики не может изменяться участником </w:t>
            </w:r>
            <w:r w:rsidRPr="0022653C">
              <w:rPr>
                <w:rFonts w:ascii="Times New Roman" w:eastAsia="Times New Roman" w:hAnsi="Times New Roman" w:cs="Times New Roman"/>
                <w:sz w:val="14"/>
                <w:szCs w:val="14"/>
                <w:lang w:eastAsia="ru-RU"/>
              </w:rPr>
              <w:lastRenderedPageBreak/>
              <w:t>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lastRenderedPageBreak/>
              <w:t>ГОСТ Р 56990–2016</w:t>
            </w:r>
          </w:p>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ГОСТ Р 58151.1–2018</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highlight w:val="yellow"/>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hAnsi="Times New Roman" w:cs="Times New Roman"/>
                <w:sz w:val="14"/>
                <w:szCs w:val="14"/>
              </w:rPr>
            </w:pPr>
          </w:p>
        </w:tc>
        <w:tc>
          <w:tcPr>
            <w:tcW w:w="8930" w:type="dxa"/>
            <w:gridSpan w:val="5"/>
            <w:shd w:val="clear" w:color="000000" w:fill="FFFFFF"/>
          </w:tcPr>
          <w:p w:rsidR="00DA19B0" w:rsidRPr="00701AD9" w:rsidRDefault="00DA19B0" w:rsidP="00ED4A4C">
            <w:pPr>
              <w:spacing w:after="0" w:line="240" w:lineRule="auto"/>
              <w:rPr>
                <w:rFonts w:ascii="Times New Roman" w:eastAsia="Times New Roman" w:hAnsi="Times New Roman" w:cs="Times New Roman"/>
                <w:b/>
                <w:color w:val="000000"/>
                <w:sz w:val="14"/>
                <w:szCs w:val="14"/>
                <w:lang w:eastAsia="ru-RU"/>
              </w:rPr>
            </w:pPr>
            <w:r w:rsidRPr="00701AD9">
              <w:rPr>
                <w:rFonts w:ascii="Times New Roman" w:hAnsi="Times New Roman" w:cs="Times New Roman"/>
                <w:b/>
                <w:sz w:val="14"/>
                <w:szCs w:val="14"/>
              </w:rPr>
              <w:t>Дополнительные характеристики</w:t>
            </w:r>
            <w:r>
              <w:rPr>
                <w:rFonts w:ascii="Times New Roman" w:hAnsi="Times New Roman" w:cs="Times New Roman"/>
                <w:b/>
                <w:sz w:val="14"/>
                <w:szCs w:val="14"/>
              </w:rPr>
              <w:t>:</w:t>
            </w:r>
            <w:r w:rsidRPr="00701AD9">
              <w:rPr>
                <w:rFonts w:ascii="Times New Roman" w:hAnsi="Times New Roman" w:cs="Times New Roman"/>
                <w:b/>
                <w:sz w:val="14"/>
                <w:szCs w:val="14"/>
              </w:rPr>
              <w:t xml:space="preserve"> </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Дезинфицирующее средство состоит из перекиси водорода</w:t>
            </w:r>
          </w:p>
        </w:tc>
        <w:tc>
          <w:tcPr>
            <w:tcW w:w="1160" w:type="dxa"/>
            <w:shd w:val="clear" w:color="FFFFCC" w:fill="FFFFFF"/>
          </w:tcPr>
          <w:p w:rsidR="00DA19B0" w:rsidRPr="00722B9A" w:rsidRDefault="00DA19B0" w:rsidP="00ED4A4C">
            <w:pPr>
              <w:spacing w:after="0" w:line="240" w:lineRule="auto"/>
              <w:jc w:val="center"/>
              <w:rPr>
                <w:rFonts w:ascii="Times New Roman" w:hAnsi="Times New Roman" w:cs="Times New Roman"/>
                <w:sz w:val="14"/>
                <w:szCs w:val="14"/>
              </w:rPr>
            </w:pPr>
            <w:r w:rsidRPr="00722B9A">
              <w:rPr>
                <w:rFonts w:ascii="Times New Roman" w:hAnsi="Times New Roman" w:cs="Times New Roman"/>
                <w:sz w:val="14"/>
                <w:szCs w:val="14"/>
              </w:rPr>
              <w:t>Соответствие</w:t>
            </w:r>
          </w:p>
        </w:tc>
        <w:tc>
          <w:tcPr>
            <w:tcW w:w="992"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p>
        </w:tc>
        <w:tc>
          <w:tcPr>
            <w:tcW w:w="1417"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Федеральные клинические рекомендации по выбору химических средств дезинфекции и стерилизации для использования в медицинских организациях. ГОСТ Р 56990-2016, ГОСТ Р 58151.1-2018. Письмо Роспотребнадзора от 23.01.2020 N 02/770-2020-32, Руководство Р 4.2.2643-10</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Доля действующего</w:t>
            </w:r>
            <w:r>
              <w:rPr>
                <w:rFonts w:ascii="Times New Roman" w:eastAsia="Times New Roman" w:hAnsi="Times New Roman" w:cs="Times New Roman"/>
                <w:color w:val="000000"/>
                <w:sz w:val="14"/>
                <w:szCs w:val="14"/>
                <w:lang w:eastAsia="ru-RU"/>
              </w:rPr>
              <w:t xml:space="preserve"> вещества (перекись водорода)</w:t>
            </w:r>
          </w:p>
        </w:tc>
        <w:tc>
          <w:tcPr>
            <w:tcW w:w="1160" w:type="dxa"/>
            <w:shd w:val="clear" w:color="FFFFCC" w:fill="FFFFFF"/>
          </w:tcPr>
          <w:p w:rsidR="00DA19B0" w:rsidRPr="00722B9A" w:rsidRDefault="00DA19B0" w:rsidP="00ED4A4C">
            <w:pPr>
              <w:spacing w:after="0" w:line="240" w:lineRule="auto"/>
              <w:jc w:val="center"/>
              <w:rPr>
                <w:rFonts w:ascii="Times New Roman" w:hAnsi="Times New Roman" w:cs="Times New Roman"/>
                <w:sz w:val="14"/>
                <w:szCs w:val="14"/>
              </w:rPr>
            </w:pPr>
            <w:r w:rsidRPr="00722B9A">
              <w:rPr>
                <w:rFonts w:ascii="Times New Roman" w:hAnsi="Times New Roman" w:cs="Times New Roman"/>
                <w:sz w:val="14"/>
                <w:szCs w:val="14"/>
              </w:rPr>
              <w:t>Не менее 6</w:t>
            </w:r>
          </w:p>
        </w:tc>
        <w:tc>
          <w:tcPr>
            <w:tcW w:w="992"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r w:rsidRPr="00722B9A">
              <w:rPr>
                <w:rFonts w:ascii="Times New Roman" w:hAnsi="Times New Roman" w:cs="Times New Roman"/>
                <w:sz w:val="14"/>
                <w:szCs w:val="14"/>
              </w:rPr>
              <w:t>%</w:t>
            </w:r>
          </w:p>
        </w:tc>
        <w:tc>
          <w:tcPr>
            <w:tcW w:w="1417"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Федеральные клинические рекомендации по выбору химических средств дезинфекции и стерилизации для использования в медицинских организациях. ГОСТ Р 56990-2016, ГОСТ Р 58151.1-2018. Письмо Роспотребнадзора от 23.01.2020 N 02/770-2020-32, Руководство Р 4.2.2643-10</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hAnsi="Times New Roman" w:cs="Times New Roman"/>
                <w:color w:val="000000"/>
                <w:sz w:val="14"/>
                <w:szCs w:val="14"/>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sidRPr="00722B9A">
              <w:rPr>
                <w:rFonts w:ascii="Times New Roman" w:hAnsi="Times New Roman" w:cs="Times New Roman"/>
                <w:color w:val="000000"/>
                <w:sz w:val="14"/>
                <w:szCs w:val="14"/>
              </w:rPr>
              <w:t>Активно в отношении грамположительных и грамотрицательных бактерий (включая возбудителей туберкулеза, особо опасных инфекций чумы, холеры, сапа, мелиоидоза, туляремии), в том числе спорообразующих (включая возбудителей сибирской язвы), вирусов (возбудителей энтеровирусных инфекций; энтеральных и парентеральных гепатитов, ВИЧ-инфекций; гриппа типа А, H5Ni, H1N1 и др.; ОРВИ, герпетической, цеталомеговиросной, аденовирусной и др. инфекций) и грибов (возбудителей дерматофитий)</w:t>
            </w:r>
          </w:p>
        </w:tc>
        <w:tc>
          <w:tcPr>
            <w:tcW w:w="1160" w:type="dxa"/>
            <w:shd w:val="clear" w:color="FFFFCC" w:fill="FFFFFF"/>
          </w:tcPr>
          <w:p w:rsidR="00DA19B0" w:rsidRPr="00722B9A" w:rsidRDefault="00DA19B0" w:rsidP="00ED4A4C">
            <w:pPr>
              <w:spacing w:after="0" w:line="240" w:lineRule="auto"/>
              <w:rPr>
                <w:rFonts w:ascii="Times New Roman" w:hAnsi="Times New Roman" w:cs="Times New Roman"/>
                <w:sz w:val="14"/>
                <w:szCs w:val="14"/>
              </w:rPr>
            </w:pPr>
            <w:r w:rsidRPr="00722B9A">
              <w:rPr>
                <w:rFonts w:ascii="Times New Roman" w:hAnsi="Times New Roman" w:cs="Times New Roman"/>
                <w:sz w:val="14"/>
                <w:szCs w:val="14"/>
              </w:rPr>
              <w:t>Соответствие</w:t>
            </w:r>
          </w:p>
        </w:tc>
        <w:tc>
          <w:tcPr>
            <w:tcW w:w="992" w:type="dxa"/>
            <w:shd w:val="clear" w:color="000000" w:fill="FFFFFF"/>
          </w:tcPr>
          <w:p w:rsidR="00DA19B0" w:rsidRPr="00722B9A" w:rsidRDefault="00DA19B0" w:rsidP="00ED4A4C">
            <w:pPr>
              <w:spacing w:after="0" w:line="240" w:lineRule="auto"/>
              <w:rPr>
                <w:rFonts w:ascii="Times New Roman" w:hAnsi="Times New Roman" w:cs="Times New Roman"/>
                <w:sz w:val="14"/>
                <w:szCs w:val="14"/>
              </w:rPr>
            </w:pPr>
          </w:p>
        </w:tc>
        <w:tc>
          <w:tcPr>
            <w:tcW w:w="1417"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r w:rsidRPr="00226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hAnsi="Times New Roman" w:cs="Times New Roman"/>
                <w:sz w:val="14"/>
                <w:szCs w:val="14"/>
              </w:rPr>
              <w:t>СанПиН 3.3686-21 VI, VII. Письмо Роспотребнадзора №02/770-2020-32 от 23.01.2020г. MP 3.1.02.09-20. ГОСТ Р 56990-2016</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r w:rsidR="00DA19B0" w:rsidRPr="00722B9A" w:rsidTr="006565BA">
        <w:trPr>
          <w:trHeight w:val="204"/>
        </w:trPr>
        <w:tc>
          <w:tcPr>
            <w:tcW w:w="425"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412"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970" w:type="dxa"/>
            <w:vMerge/>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2951" w:type="dxa"/>
            <w:shd w:val="clear" w:color="000000" w:fill="FFFFFF"/>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Упаковка</w:t>
            </w:r>
          </w:p>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1160" w:type="dxa"/>
            <w:shd w:val="clear" w:color="FFFFCC" w:fill="FFFFFF"/>
          </w:tcPr>
          <w:p w:rsidR="00DA19B0" w:rsidRPr="00722B9A" w:rsidRDefault="00DA19B0" w:rsidP="00ED4A4C">
            <w:pPr>
              <w:spacing w:after="0" w:line="240" w:lineRule="auto"/>
              <w:jc w:val="center"/>
              <w:rPr>
                <w:rFonts w:ascii="Times New Roman" w:hAnsi="Times New Roman" w:cs="Times New Roman"/>
                <w:sz w:val="14"/>
                <w:szCs w:val="14"/>
              </w:rPr>
            </w:pPr>
            <w:r w:rsidRPr="00722B9A">
              <w:rPr>
                <w:rFonts w:ascii="Times New Roman" w:eastAsia="Times New Roman" w:hAnsi="Times New Roman" w:cs="Times New Roman"/>
                <w:color w:val="000000"/>
                <w:sz w:val="14"/>
                <w:szCs w:val="14"/>
                <w:lang w:eastAsia="ru-RU"/>
              </w:rPr>
              <w:t>Не более 1</w:t>
            </w:r>
          </w:p>
        </w:tc>
        <w:tc>
          <w:tcPr>
            <w:tcW w:w="992" w:type="dxa"/>
            <w:shd w:val="clear" w:color="000000" w:fill="FFFFFF"/>
          </w:tcPr>
          <w:p w:rsidR="00DA19B0" w:rsidRPr="00722B9A" w:rsidRDefault="00DA19B0" w:rsidP="00ED4A4C">
            <w:pPr>
              <w:spacing w:after="0" w:line="240" w:lineRule="auto"/>
              <w:jc w:val="center"/>
              <w:rPr>
                <w:rFonts w:ascii="Times New Roman" w:hAnsi="Times New Roman" w:cs="Times New Roman"/>
                <w:sz w:val="14"/>
                <w:szCs w:val="14"/>
              </w:rPr>
            </w:pPr>
            <w:r>
              <w:rPr>
                <w:rFonts w:ascii="Times New Roman" w:hAnsi="Times New Roman" w:cs="Times New Roman"/>
                <w:sz w:val="14"/>
                <w:szCs w:val="14"/>
              </w:rPr>
              <w:t>л</w:t>
            </w:r>
          </w:p>
        </w:tc>
        <w:tc>
          <w:tcPr>
            <w:tcW w:w="1417" w:type="dxa"/>
            <w:shd w:val="clear" w:color="FFFFCC" w:fill="FFFFFF"/>
          </w:tcPr>
          <w:p w:rsidR="00DA19B0" w:rsidRPr="00722B9A" w:rsidRDefault="00DA19B0" w:rsidP="00ED4A4C">
            <w:pPr>
              <w:spacing w:after="0" w:line="240" w:lineRule="auto"/>
              <w:jc w:val="center"/>
              <w:rPr>
                <w:rFonts w:ascii="Times New Roman" w:hAnsi="Times New Roman" w:cs="Times New Roman"/>
                <w:sz w:val="14"/>
                <w:szCs w:val="14"/>
              </w:rPr>
            </w:pPr>
            <w:r w:rsidRPr="0022653C">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2410" w:type="dxa"/>
            <w:shd w:val="clear" w:color="000000" w:fill="FFFFFF"/>
          </w:tcPr>
          <w:p w:rsidR="00DA19B0" w:rsidRPr="00722B9A" w:rsidRDefault="00DA19B0" w:rsidP="00ED4A4C">
            <w:pPr>
              <w:spacing w:after="0" w:line="240" w:lineRule="auto"/>
              <w:jc w:val="center"/>
              <w:rPr>
                <w:rFonts w:ascii="Times New Roman" w:eastAsia="Times New Roman" w:hAnsi="Times New Roman" w:cs="Times New Roman"/>
                <w:color w:val="000000"/>
                <w:sz w:val="14"/>
                <w:szCs w:val="14"/>
                <w:lang w:eastAsia="ru-RU"/>
              </w:rPr>
            </w:pPr>
            <w:r w:rsidRPr="00722B9A">
              <w:rPr>
                <w:rFonts w:ascii="Times New Roman" w:eastAsia="Times New Roman" w:hAnsi="Times New Roman" w:cs="Times New Roman"/>
                <w:color w:val="000000"/>
                <w:sz w:val="14"/>
                <w:szCs w:val="14"/>
                <w:lang w:eastAsia="ru-RU"/>
              </w:rPr>
              <w:t>Обусловлено правилами индивидуального использования. 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для удобства выдачи и хранения внутри отделений у Заказчика.</w:t>
            </w:r>
          </w:p>
        </w:tc>
        <w:tc>
          <w:tcPr>
            <w:tcW w:w="851"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850"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567"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c>
          <w:tcPr>
            <w:tcW w:w="709" w:type="dxa"/>
            <w:vMerge/>
          </w:tcPr>
          <w:p w:rsidR="00DA19B0" w:rsidRPr="00722B9A" w:rsidRDefault="00DA19B0" w:rsidP="00ED4A4C">
            <w:pPr>
              <w:spacing w:after="0" w:line="240" w:lineRule="auto"/>
              <w:rPr>
                <w:rFonts w:ascii="Times New Roman" w:eastAsia="Times New Roman" w:hAnsi="Times New Roman" w:cs="Times New Roman"/>
                <w:color w:val="000000"/>
                <w:sz w:val="14"/>
                <w:szCs w:val="14"/>
                <w:lang w:eastAsia="ru-RU"/>
              </w:rPr>
            </w:pPr>
          </w:p>
        </w:tc>
      </w:tr>
    </w:tbl>
    <w:p w:rsidR="00180AE3" w:rsidRPr="000437D6" w:rsidRDefault="00180AE3" w:rsidP="00E52880">
      <w:pPr>
        <w:pStyle w:val="a7"/>
        <w:widowControl w:val="0"/>
        <w:spacing w:after="0"/>
        <w:ind w:left="644"/>
        <w:jc w:val="center"/>
        <w:rPr>
          <w:rFonts w:ascii="Times New Roman" w:eastAsia="Courier New" w:hAnsi="Times New Roman" w:cs="Times New Roman"/>
          <w:b/>
        </w:rPr>
      </w:pPr>
    </w:p>
    <w:p w:rsidR="00DA19B0" w:rsidRPr="00E44C5A" w:rsidRDefault="00DA19B0" w:rsidP="00DA19B0">
      <w:pPr>
        <w:rPr>
          <w:rFonts w:ascii="Times New Roman" w:hAnsi="Times New Roman" w:cs="Times New Roman"/>
          <w:sz w:val="16"/>
          <w:szCs w:val="16"/>
        </w:rPr>
      </w:pPr>
      <w:r w:rsidRPr="002336F8">
        <w:rPr>
          <w:rFonts w:ascii="Times New Roman" w:hAnsi="Times New Roman" w:cs="Times New Roman"/>
          <w:b/>
          <w:bCs/>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180AE3">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A8B" w:rsidRDefault="007B6A8B">
      <w:pPr>
        <w:spacing w:after="0" w:line="240" w:lineRule="auto"/>
      </w:pPr>
      <w:r>
        <w:separator/>
      </w:r>
    </w:p>
  </w:endnote>
  <w:endnote w:type="continuationSeparator" w:id="0">
    <w:p w:rsidR="007B6A8B" w:rsidRDefault="007B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3E" w:rsidRDefault="005F1A3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5F1A3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33940">
          <w:rPr>
            <w:noProof/>
          </w:rPr>
          <w:t>8</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7B6A8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7B6A8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3940">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7B6A8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394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A8B" w:rsidRDefault="007B6A8B">
      <w:pPr>
        <w:spacing w:after="0" w:line="240" w:lineRule="auto"/>
      </w:pPr>
      <w:r>
        <w:separator/>
      </w:r>
    </w:p>
  </w:footnote>
  <w:footnote w:type="continuationSeparator" w:id="0">
    <w:p w:rsidR="007B6A8B" w:rsidRDefault="007B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3E" w:rsidRDefault="005F1A3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3E" w:rsidRDefault="005F1A3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3E" w:rsidRDefault="005F1A3E">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2403"/>
    <w:rsid w:val="001233FC"/>
    <w:rsid w:val="00133940"/>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0AE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1A3E"/>
    <w:rsid w:val="00603DF0"/>
    <w:rsid w:val="00623487"/>
    <w:rsid w:val="00632D4D"/>
    <w:rsid w:val="00637F5D"/>
    <w:rsid w:val="006420B2"/>
    <w:rsid w:val="00642D06"/>
    <w:rsid w:val="006474B5"/>
    <w:rsid w:val="00650AB9"/>
    <w:rsid w:val="006565BA"/>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B6A8B"/>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19B0"/>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43AC"/>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0875"/>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99E56"/>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DA19B0"/>
    <w:rPr>
      <w:sz w:val="16"/>
      <w:szCs w:val="16"/>
    </w:rPr>
  </w:style>
  <w:style w:type="paragraph" w:styleId="afa">
    <w:name w:val="annotation text"/>
    <w:basedOn w:val="a0"/>
    <w:link w:val="afb"/>
    <w:uiPriority w:val="99"/>
    <w:semiHidden/>
    <w:unhideWhenUsed/>
    <w:rsid w:val="00DA19B0"/>
    <w:pPr>
      <w:spacing w:after="160" w:line="240" w:lineRule="auto"/>
    </w:pPr>
    <w:rPr>
      <w:sz w:val="20"/>
      <w:szCs w:val="20"/>
    </w:rPr>
  </w:style>
  <w:style w:type="character" w:customStyle="1" w:styleId="afb">
    <w:name w:val="Текст примечания Знак"/>
    <w:basedOn w:val="a1"/>
    <w:link w:val="afa"/>
    <w:uiPriority w:val="99"/>
    <w:semiHidden/>
    <w:rsid w:val="00DA19B0"/>
    <w:rPr>
      <w:sz w:val="20"/>
      <w:szCs w:val="20"/>
    </w:rPr>
  </w:style>
  <w:style w:type="paragraph" w:styleId="afc">
    <w:name w:val="annotation subject"/>
    <w:basedOn w:val="afa"/>
    <w:next w:val="afa"/>
    <w:link w:val="afd"/>
    <w:uiPriority w:val="99"/>
    <w:semiHidden/>
    <w:unhideWhenUsed/>
    <w:rsid w:val="00DA19B0"/>
    <w:rPr>
      <w:b/>
      <w:bCs/>
    </w:rPr>
  </w:style>
  <w:style w:type="character" w:customStyle="1" w:styleId="afd">
    <w:name w:val="Тема примечания Знак"/>
    <w:basedOn w:val="afb"/>
    <w:link w:val="afc"/>
    <w:uiPriority w:val="99"/>
    <w:semiHidden/>
    <w:rsid w:val="00DA19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3E81D-3BAE-43C0-BC9E-F182BEBC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2568</Words>
  <Characters>14641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4</cp:revision>
  <cp:lastPrinted>2018-01-19T15:25:00Z</cp:lastPrinted>
  <dcterms:created xsi:type="dcterms:W3CDTF">2025-12-01T05:59:00Z</dcterms:created>
  <dcterms:modified xsi:type="dcterms:W3CDTF">2025-12-02T10:13:00Z</dcterms:modified>
</cp:coreProperties>
</file>