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F0E8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92"/>
        <w:gridCol w:w="1056"/>
        <w:gridCol w:w="912"/>
        <w:gridCol w:w="1139"/>
        <w:gridCol w:w="1139"/>
        <w:gridCol w:w="1139"/>
        <w:gridCol w:w="1754"/>
        <w:gridCol w:w="2976"/>
        <w:gridCol w:w="842"/>
        <w:gridCol w:w="1266"/>
        <w:gridCol w:w="1270"/>
        <w:gridCol w:w="702"/>
        <w:gridCol w:w="702"/>
        <w:gridCol w:w="660"/>
      </w:tblGrid>
      <w:tr w:rsidR="004C60BE" w:rsidRPr="003C6DF2" w:rsidTr="004C60BE">
        <w:trPr>
          <w:trHeight w:val="402"/>
        </w:trPr>
        <w:tc>
          <w:tcPr>
            <w:tcW w:w="123" w:type="pct"/>
            <w:vMerge w:val="restart"/>
            <w:tcBorders>
              <w:top w:val="single" w:sz="6" w:space="0" w:color="000000"/>
              <w:left w:val="single" w:sz="6" w:space="0" w:color="000000"/>
              <w:bottom w:val="single" w:sz="6" w:space="0" w:color="000000"/>
              <w:right w:val="single" w:sz="6"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 </w:t>
            </w:r>
          </w:p>
        </w:tc>
        <w:tc>
          <w:tcPr>
            <w:tcW w:w="331" w:type="pct"/>
            <w:vMerge w:val="restart"/>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Наименование товара, работы, услуги</w:t>
            </w:r>
          </w:p>
        </w:tc>
        <w:tc>
          <w:tcPr>
            <w:tcW w:w="286" w:type="pct"/>
            <w:vMerge w:val="restart"/>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Код позиции</w:t>
            </w:r>
          </w:p>
        </w:tc>
        <w:tc>
          <w:tcPr>
            <w:tcW w:w="1621" w:type="pct"/>
            <w:gridSpan w:val="4"/>
            <w:tcBorders>
              <w:top w:val="single" w:sz="8" w:space="0" w:color="000000"/>
              <w:left w:val="nil"/>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Характеристики товара, работы, услуги</w:t>
            </w:r>
          </w:p>
        </w:tc>
        <w:tc>
          <w:tcPr>
            <w:tcW w:w="933" w:type="pct"/>
            <w:vMerge w:val="restart"/>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Обоснование характеристик</w:t>
            </w:r>
          </w:p>
        </w:tc>
        <w:tc>
          <w:tcPr>
            <w:tcW w:w="264" w:type="pct"/>
            <w:vMerge w:val="restart"/>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Количество (объем работы, услуги)</w:t>
            </w:r>
          </w:p>
        </w:tc>
        <w:tc>
          <w:tcPr>
            <w:tcW w:w="397" w:type="pct"/>
            <w:vMerge w:val="restart"/>
            <w:tcBorders>
              <w:top w:val="single" w:sz="8" w:space="0" w:color="000000"/>
              <w:left w:val="single" w:sz="8" w:space="0" w:color="000000"/>
              <w:bottom w:val="single" w:sz="8" w:space="0" w:color="000000"/>
              <w:right w:val="nil"/>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Единица измерения</w:t>
            </w:r>
          </w:p>
        </w:tc>
        <w:tc>
          <w:tcPr>
            <w:tcW w:w="398" w:type="pct"/>
            <w:vMerge w:val="restart"/>
            <w:tcBorders>
              <w:top w:val="single" w:sz="4" w:space="0" w:color="auto"/>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Страна происхождения Товара</w:t>
            </w:r>
          </w:p>
        </w:tc>
        <w:tc>
          <w:tcPr>
            <w:tcW w:w="220" w:type="pct"/>
            <w:vMerge w:val="restart"/>
            <w:tcBorders>
              <w:top w:val="single" w:sz="4" w:space="0" w:color="auto"/>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Ставка НДС%</w:t>
            </w:r>
          </w:p>
        </w:tc>
        <w:tc>
          <w:tcPr>
            <w:tcW w:w="220" w:type="pct"/>
            <w:vMerge w:val="restart"/>
            <w:tcBorders>
              <w:top w:val="single" w:sz="4" w:space="0" w:color="auto"/>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Цена за ед. без НДС</w:t>
            </w:r>
          </w:p>
        </w:tc>
        <w:tc>
          <w:tcPr>
            <w:tcW w:w="207" w:type="pct"/>
            <w:vMerge w:val="restart"/>
            <w:tcBorders>
              <w:top w:val="single" w:sz="4" w:space="0" w:color="auto"/>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Сумма без НДС</w:t>
            </w:r>
          </w:p>
        </w:tc>
      </w:tr>
      <w:tr w:rsidR="004C60BE" w:rsidRPr="003C6DF2" w:rsidTr="004C60BE">
        <w:trPr>
          <w:trHeight w:val="402"/>
        </w:trPr>
        <w:tc>
          <w:tcPr>
            <w:tcW w:w="123" w:type="pct"/>
            <w:vMerge/>
            <w:tcBorders>
              <w:top w:val="single" w:sz="6" w:space="0" w:color="000000"/>
              <w:left w:val="single" w:sz="6" w:space="0" w:color="000000"/>
              <w:bottom w:val="single" w:sz="6" w:space="0" w:color="000000"/>
              <w:right w:val="single" w:sz="6"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331" w:type="pct"/>
            <w:vMerge/>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286" w:type="pct"/>
            <w:vMerge/>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Наименование характеристики</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Значение характеристики</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Единица измерения характеристики</w:t>
            </w:r>
          </w:p>
        </w:tc>
        <w:tc>
          <w:tcPr>
            <w:tcW w:w="550"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b/>
                <w:bCs/>
                <w:color w:val="000000"/>
                <w:sz w:val="20"/>
                <w:szCs w:val="20"/>
                <w:lang w:eastAsia="ru-RU"/>
              </w:rPr>
            </w:pPr>
            <w:r w:rsidRPr="003C6DF2">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933" w:type="pct"/>
            <w:vMerge/>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264" w:type="pct"/>
            <w:vMerge/>
            <w:tcBorders>
              <w:top w:val="single" w:sz="8" w:space="0" w:color="000000"/>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397" w:type="pct"/>
            <w:vMerge/>
            <w:tcBorders>
              <w:top w:val="single" w:sz="8" w:space="0" w:color="000000"/>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b/>
                <w:bCs/>
                <w:color w:val="000000"/>
                <w:sz w:val="20"/>
                <w:szCs w:val="20"/>
                <w:lang w:eastAsia="ru-RU"/>
              </w:rPr>
            </w:pP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single" w:sz="4" w:space="0" w:color="auto"/>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val="restart"/>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1</w:t>
            </w:r>
          </w:p>
        </w:tc>
        <w:tc>
          <w:tcPr>
            <w:tcW w:w="331" w:type="pct"/>
            <w:vMerge w:val="restart"/>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Канюля/игла для приготовления лекарственных средств, стерильная</w:t>
            </w:r>
          </w:p>
        </w:tc>
        <w:tc>
          <w:tcPr>
            <w:tcW w:w="286" w:type="pct"/>
            <w:vMerge w:val="restart"/>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32.50.13.110-00005040*</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64" w:type="pct"/>
            <w:vMerge w:val="restart"/>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23 142</w:t>
            </w:r>
          </w:p>
        </w:tc>
        <w:tc>
          <w:tcPr>
            <w:tcW w:w="397" w:type="pct"/>
            <w:vMerge w:val="restart"/>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штука</w:t>
            </w:r>
          </w:p>
        </w:tc>
        <w:tc>
          <w:tcPr>
            <w:tcW w:w="398"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07"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Двухканальная закрытая фильтр-система для многократного забора жидких медикаментов </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Два канала, задача которых: воздушный канал для выравнивания давления во флаконе за счет специального отверстия на корпусе, таким образом процесс смешивания не требует применения дополнительных устройств для вентиляции флакона; второй канал- жидкостный для введения и забора лекарственного средства в/из флакона.</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Пластиковый наконечник для прокола пробки флакона</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Позволяет осуществить прокол пробки флакона, снижая риск травматизации медицинского персонала</w:t>
            </w:r>
          </w:p>
        </w:tc>
        <w:tc>
          <w:tcPr>
            <w:tcW w:w="264" w:type="pct"/>
            <w:vMerge/>
            <w:tcBorders>
              <w:top w:val="nil"/>
              <w:left w:val="single" w:sz="8" w:space="0" w:color="auto"/>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Длина  пластикового  наконечника </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≥21и ≤25</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Миллиметр</w:t>
            </w:r>
          </w:p>
        </w:tc>
        <w:tc>
          <w:tcPr>
            <w:tcW w:w="550" w:type="pct"/>
            <w:tcBorders>
              <w:top w:val="nil"/>
              <w:left w:val="nil"/>
              <w:bottom w:val="single" w:sz="8" w:space="0" w:color="000000"/>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Для забора из стандартных флаконов объемом от 50 мл</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Упорная пластина для упора пальцев</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для упора пальцев во время прокола пробки флакона и для удержания канюли с флаконом во время смешивания</w:t>
            </w:r>
          </w:p>
        </w:tc>
        <w:tc>
          <w:tcPr>
            <w:tcW w:w="264" w:type="pct"/>
            <w:vMerge/>
            <w:tcBorders>
              <w:top w:val="nil"/>
              <w:left w:val="single" w:sz="8" w:space="0" w:color="auto"/>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Длина упорной  пластины</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≥30 и ≤ 35</w:t>
            </w:r>
          </w:p>
        </w:tc>
        <w:tc>
          <w:tcPr>
            <w:tcW w:w="357" w:type="pct"/>
            <w:tcBorders>
              <w:top w:val="nil"/>
              <w:left w:val="nil"/>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Миллиметр</w:t>
            </w:r>
          </w:p>
        </w:tc>
        <w:tc>
          <w:tcPr>
            <w:tcW w:w="550" w:type="pct"/>
            <w:tcBorders>
              <w:top w:val="nil"/>
              <w:left w:val="nil"/>
              <w:bottom w:val="single" w:sz="8" w:space="0" w:color="000000"/>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Позволяет надежно удерживать канюлю во время манипуляции, тем самым снижая риск отсоединения от флакона во избежании потери лекарственного средства. Большая площадь позволяет осуществлять требования о маркировке</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Полностью закрытый фильтр</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 xml:space="preserve">Фильтр полностью закрыт для защиты от случайного прикосновения руками и от загрязнения частицами внешней среды в процессе процедуры. </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Фильтр воздушного канала</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jc w:val="center"/>
              <w:rPr>
                <w:rFonts w:ascii="Times New Roman" w:hAnsi="Times New Roman" w:cs="Times New Roman"/>
                <w:color w:val="000000"/>
                <w:sz w:val="20"/>
                <w:szCs w:val="20"/>
              </w:rPr>
            </w:pPr>
            <w:r w:rsidRPr="003C6DF2">
              <w:rPr>
                <w:rFonts w:ascii="Times New Roman" w:eastAsia="Times New Roman" w:hAnsi="Times New Roman" w:cs="Times New Roman"/>
                <w:color w:val="000000"/>
                <w:sz w:val="20"/>
                <w:szCs w:val="20"/>
                <w:lang w:eastAsia="ru-RU"/>
              </w:rPr>
              <w:t>≥0,3 и ≤</w:t>
            </w:r>
            <w:r w:rsidRPr="003C6DF2">
              <w:rPr>
                <w:rFonts w:ascii="Times New Roman" w:hAnsi="Times New Roman" w:cs="Times New Roman"/>
                <w:color w:val="000000"/>
                <w:sz w:val="20"/>
                <w:szCs w:val="20"/>
              </w:rPr>
              <w:t>0,45</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Микрометр</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Для задержки микробов и бактерий</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Тип соединения:  Люэр лок</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Для надежного крепления шприца во избежании отсоединения и потери лекарственного средства</w:t>
            </w:r>
          </w:p>
        </w:tc>
        <w:tc>
          <w:tcPr>
            <w:tcW w:w="264" w:type="pct"/>
            <w:vMerge/>
            <w:tcBorders>
              <w:top w:val="nil"/>
              <w:left w:val="single" w:sz="8" w:space="0" w:color="auto"/>
              <w:bottom w:val="single" w:sz="8" w:space="0" w:color="000000"/>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Колпачок с защелкивающейся крышкой типа СнэпЛок</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 xml:space="preserve">Защитный колпачок с крышкой типа Снэп Лок полностью прилегает к корпусу устройства для предотвращения от случайного отсоединения и последующей контаминации раствора. Крышка служит для открытия и закрытия доступа к соединению Люэр лок. </w:t>
            </w:r>
          </w:p>
        </w:tc>
        <w:tc>
          <w:tcPr>
            <w:tcW w:w="264" w:type="pct"/>
            <w:vMerge/>
            <w:tcBorders>
              <w:top w:val="nil"/>
              <w:left w:val="single" w:sz="8" w:space="0" w:color="auto"/>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Совместимость со шприцами, соответствующие ГОСТ Р ИСО 80369-7</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Совместимость со шприцами, соответствующие ГОСТ Р ИСО 80369-7 для надежного крепления и снижения риска отсоединения и потери лекарства</w:t>
            </w:r>
          </w:p>
        </w:tc>
        <w:tc>
          <w:tcPr>
            <w:tcW w:w="264" w:type="pct"/>
            <w:vMerge/>
            <w:tcBorders>
              <w:top w:val="nil"/>
              <w:left w:val="single" w:sz="8" w:space="0" w:color="auto"/>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Цветовая кодировка зеленый</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Цветовая кодировка применяется в стационарах для удобства и быстроты идентификации устройства: зеленый цвет – для работы с базовыми растворами</w:t>
            </w:r>
          </w:p>
        </w:tc>
        <w:tc>
          <w:tcPr>
            <w:tcW w:w="264" w:type="pct"/>
            <w:vMerge/>
            <w:tcBorders>
              <w:top w:val="nil"/>
              <w:left w:val="single" w:sz="8" w:space="0" w:color="auto"/>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single" w:sz="8" w:space="0" w:color="000000"/>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val="restart"/>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2</w:t>
            </w:r>
          </w:p>
        </w:tc>
        <w:tc>
          <w:tcPr>
            <w:tcW w:w="331" w:type="pct"/>
            <w:vMerge w:val="restart"/>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Канюля/игла для приготовления лекарственных средств, стерильная</w:t>
            </w:r>
          </w:p>
        </w:tc>
        <w:tc>
          <w:tcPr>
            <w:tcW w:w="286" w:type="pct"/>
            <w:vMerge w:val="restart"/>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32.50.13.110-00005040*</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Двухканальная закрытая фильтр-система для многократного забора жидких медикаментов </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Два канала, задача которых: воздушный канал для выравнивания давления во флаконе за счет специального отверстия на корпусе, таким образом процесс смешивания не требует применения дополнительных устройств для вентиляции флакона; второй канал- жидкостный для введения и забора лекарственного средства в/из флакона.</w:t>
            </w:r>
          </w:p>
        </w:tc>
        <w:tc>
          <w:tcPr>
            <w:tcW w:w="264" w:type="pct"/>
            <w:vMerge w:val="restart"/>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4 950</w:t>
            </w:r>
          </w:p>
        </w:tc>
        <w:tc>
          <w:tcPr>
            <w:tcW w:w="397" w:type="pct"/>
            <w:vMerge w:val="restart"/>
            <w:tcBorders>
              <w:top w:val="nil"/>
              <w:left w:val="single" w:sz="8" w:space="0" w:color="000000"/>
              <w:bottom w:val="nil"/>
              <w:right w:val="nil"/>
            </w:tcBorders>
            <w:vAlign w:val="center"/>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штука</w:t>
            </w:r>
          </w:p>
        </w:tc>
        <w:tc>
          <w:tcPr>
            <w:tcW w:w="398"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20"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207" w:type="pct"/>
            <w:vMerge w:val="restart"/>
            <w:tcBorders>
              <w:top w:val="nil"/>
              <w:left w:val="single" w:sz="4" w:space="0" w:color="auto"/>
              <w:bottom w:val="single" w:sz="4" w:space="0" w:color="000000"/>
              <w:right w:val="single" w:sz="4" w:space="0" w:color="auto"/>
            </w:tcBorders>
            <w:noWrap/>
            <w:vAlign w:val="bottom"/>
            <w:hideMark/>
          </w:tcPr>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Пластиковый наконечник для прокола пробки флакона</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Позволяет осуществить прокол пробки флакона, снижая риск травматизации медицинского персонала</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Длина пластикового наконечника</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≥21 и ≤ 25</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Миллиметр</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Для забора из стандартных флаконов объемом от 50 мл</w:t>
            </w:r>
          </w:p>
        </w:tc>
        <w:tc>
          <w:tcPr>
            <w:tcW w:w="264" w:type="pct"/>
            <w:vMerge/>
            <w:tcBorders>
              <w:top w:val="nil"/>
              <w:left w:val="single" w:sz="8" w:space="0" w:color="auto"/>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Полностью закрытый фильтр</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Фильтр должен быть полностью закрыт для защиты от случайного прикосновения руками и от загрязнения частицами внешней среды в процессе процедуры.</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highlight w:val="yellow"/>
                <w:lang w:eastAsia="ru-RU"/>
              </w:rPr>
            </w:pPr>
            <w:r w:rsidRPr="003C6DF2">
              <w:rPr>
                <w:rFonts w:ascii="Times New Roman" w:eastAsia="Times New Roman" w:hAnsi="Times New Roman" w:cs="Times New Roman"/>
                <w:color w:val="000000"/>
                <w:sz w:val="20"/>
                <w:szCs w:val="20"/>
                <w:lang w:eastAsia="ru-RU"/>
              </w:rPr>
              <w:t>Упорная пластина для упора пальцев</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highlight w:val="yellow"/>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nil"/>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Пластина упирается в крышку флакона. Планки предназначены для упора пальцев во время прокола пробки флакона и для удобного удержания изделия с флаконом во время смешивания. </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Длина пластины </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≥30 и ≤ 35</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Миллиметр</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single" w:sz="8" w:space="0" w:color="auto"/>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Позволяет надежно удерживать канюлю во время манипуляции, тем самым снижая риск отсоединения от флакона во избежании потери лекарственного средства. Большая площадь позволяет осуществлять требования о маркировке</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Тип соединения</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jc w:val="center"/>
              <w:rPr>
                <w:rFonts w:ascii="Times New Roman" w:hAnsi="Times New Roman" w:cs="Times New Roman"/>
                <w:color w:val="000000"/>
                <w:sz w:val="20"/>
                <w:szCs w:val="20"/>
              </w:rPr>
            </w:pPr>
            <w:r w:rsidRPr="003C6DF2">
              <w:rPr>
                <w:rFonts w:ascii="Times New Roman" w:hAnsi="Times New Roman" w:cs="Times New Roman"/>
                <w:color w:val="000000"/>
                <w:sz w:val="20"/>
                <w:szCs w:val="20"/>
              </w:rPr>
              <w:t>Люэр лок</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jc w:val="center"/>
              <w:rPr>
                <w:rFonts w:ascii="Times New Roman" w:hAnsi="Times New Roman" w:cs="Times New Roman"/>
                <w:color w:val="000000"/>
                <w:sz w:val="20"/>
                <w:szCs w:val="20"/>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rPr>
                <w:rFonts w:ascii="Times New Roman" w:hAnsi="Times New Roman" w:cs="Times New Roman"/>
                <w:color w:val="000000"/>
                <w:sz w:val="20"/>
                <w:szCs w:val="20"/>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single" w:sz="8" w:space="0" w:color="auto"/>
              <w:bottom w:val="single" w:sz="8" w:space="0" w:color="000000"/>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Для надежного крепления шприца во избежании отсоединения и потери лекарственного средства</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single" w:sz="4" w:space="0" w:color="auto"/>
              <w:left w:val="nil"/>
              <w:bottom w:val="single" w:sz="4" w:space="0" w:color="000000"/>
              <w:right w:val="single" w:sz="8" w:space="0" w:color="000000"/>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Колпачок с защелкивающейся крышкой типа СнэпЛок</w:t>
            </w:r>
          </w:p>
        </w:tc>
        <w:tc>
          <w:tcPr>
            <w:tcW w:w="357" w:type="pct"/>
            <w:tcBorders>
              <w:top w:val="single" w:sz="4" w:space="0" w:color="auto"/>
              <w:left w:val="single" w:sz="8" w:space="0" w:color="000000"/>
              <w:bottom w:val="single" w:sz="4" w:space="0" w:color="000000"/>
              <w:right w:val="single" w:sz="8" w:space="0" w:color="000000"/>
            </w:tcBorders>
            <w:vAlign w:val="center"/>
          </w:tcPr>
          <w:p w:rsidR="004C60BE" w:rsidRPr="003C6DF2" w:rsidRDefault="004C60BE" w:rsidP="005E262F">
            <w:pPr>
              <w:jc w:val="center"/>
              <w:rPr>
                <w:rFonts w:ascii="Times New Roman" w:hAnsi="Times New Roman" w:cs="Times New Roman"/>
                <w:color w:val="000000"/>
                <w:sz w:val="20"/>
                <w:szCs w:val="20"/>
              </w:rPr>
            </w:pPr>
            <w:r w:rsidRPr="003C6DF2">
              <w:rPr>
                <w:rFonts w:ascii="Times New Roman" w:hAnsi="Times New Roman" w:cs="Times New Roman"/>
                <w:color w:val="000000"/>
                <w:sz w:val="20"/>
                <w:szCs w:val="20"/>
              </w:rPr>
              <w:t>наличие</w:t>
            </w:r>
          </w:p>
        </w:tc>
        <w:tc>
          <w:tcPr>
            <w:tcW w:w="357" w:type="pct"/>
            <w:tcBorders>
              <w:top w:val="single" w:sz="4" w:space="0" w:color="auto"/>
              <w:left w:val="single" w:sz="8" w:space="0" w:color="000000"/>
              <w:bottom w:val="single" w:sz="4"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single" w:sz="4" w:space="0" w:color="auto"/>
              <w:left w:val="single" w:sz="8" w:space="0" w:color="000000"/>
              <w:bottom w:val="single" w:sz="4"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single" w:sz="8" w:space="0" w:color="auto"/>
              <w:bottom w:val="single" w:sz="8" w:space="0" w:color="000000"/>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 xml:space="preserve">Защитный колпачок с крышкой типа Снэп Лок полностью прилегает к корпусу устройства для предотвращения от случайного отсоединения и последующей контаминации раствора. Крышка служит для открытия и закрытия доступа к соединению Люэр лок. </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1437"/>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single" w:sz="4" w:space="0" w:color="000000"/>
              <w:left w:val="single" w:sz="4" w:space="0" w:color="000000"/>
              <w:bottom w:val="single" w:sz="4" w:space="0" w:color="000000"/>
              <w:right w:val="single" w:sz="4" w:space="0" w:color="000000"/>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Совместимость со шприцами, соответствующие ГОСТ Р ИСО 80369-7</w:t>
            </w:r>
          </w:p>
        </w:tc>
        <w:tc>
          <w:tcPr>
            <w:tcW w:w="357"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p w:rsidR="004C60BE" w:rsidRPr="003C6DF2" w:rsidRDefault="004C60BE" w:rsidP="005E262F">
            <w:pPr>
              <w:spacing w:after="0" w:line="240" w:lineRule="auto"/>
              <w:jc w:val="center"/>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single" w:sz="4" w:space="0" w:color="000000"/>
              <w:bottom w:val="single" w:sz="8" w:space="0" w:color="000000"/>
              <w:right w:val="single" w:sz="8" w:space="0" w:color="auto"/>
            </w:tcBorders>
          </w:tcPr>
          <w:p w:rsidR="004C60BE" w:rsidRPr="003C6DF2" w:rsidRDefault="004C60BE" w:rsidP="005E262F">
            <w:pPr>
              <w:rPr>
                <w:rFonts w:ascii="Times New Roman" w:hAnsi="Times New Roman" w:cs="Times New Roman"/>
                <w:color w:val="000000"/>
                <w:sz w:val="20"/>
                <w:szCs w:val="20"/>
              </w:rPr>
            </w:pPr>
            <w:r w:rsidRPr="003C6DF2">
              <w:rPr>
                <w:rFonts w:ascii="Times New Roman" w:hAnsi="Times New Roman" w:cs="Times New Roman"/>
                <w:color w:val="000000"/>
                <w:sz w:val="20"/>
                <w:szCs w:val="20"/>
              </w:rPr>
              <w:t>Совместимость со шприцами, соответствующие ГОСТ Р ИСО 80369-7 для надежного крепления и снижения риска отсоединения и потери лекарства</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Цветовая кодировка устройства: красный цвет</w:t>
            </w:r>
          </w:p>
        </w:tc>
        <w:tc>
          <w:tcPr>
            <w:tcW w:w="357"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single" w:sz="4" w:space="0" w:color="000000"/>
              <w:left w:val="single" w:sz="4" w:space="0" w:color="000000"/>
              <w:bottom w:val="single" w:sz="4" w:space="0" w:color="000000"/>
              <w:right w:val="single" w:sz="4"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single" w:sz="4" w:space="0" w:color="000000"/>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Цветовая кодировка применяется в стационарах для удобства и быстроты идентификации устройства: красный цвет – для смешивания токсичных лекарственных препаратов со специальным фильтром для задержки аэрозолей</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single" w:sz="4" w:space="0" w:color="000000"/>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Диаметр пор фильтра воздушного канала </w:t>
            </w:r>
          </w:p>
        </w:tc>
        <w:tc>
          <w:tcPr>
            <w:tcW w:w="357" w:type="pct"/>
            <w:tcBorders>
              <w:top w:val="single" w:sz="4" w:space="0" w:color="000000"/>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≥0,2</w:t>
            </w:r>
          </w:p>
        </w:tc>
        <w:tc>
          <w:tcPr>
            <w:tcW w:w="357" w:type="pct"/>
            <w:tcBorders>
              <w:top w:val="single" w:sz="4" w:space="0" w:color="000000"/>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Микрометр</w:t>
            </w:r>
          </w:p>
        </w:tc>
        <w:tc>
          <w:tcPr>
            <w:tcW w:w="550" w:type="pct"/>
            <w:tcBorders>
              <w:top w:val="single" w:sz="4" w:space="0" w:color="000000"/>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для задержки аэрозолей при разведении цитотостатических препаратов</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vMerge/>
            <w:tcBorders>
              <w:top w:val="nil"/>
              <w:left w:val="single" w:sz="8" w:space="0" w:color="000000"/>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vMerge/>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xml:space="preserve">Диаметр пор фильтра жидкостного канала </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≥5</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Микрометр</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для  тонкой очистки раствора</w:t>
            </w:r>
          </w:p>
        </w:tc>
        <w:tc>
          <w:tcPr>
            <w:tcW w:w="264" w:type="pct"/>
            <w:vMerge/>
            <w:tcBorders>
              <w:top w:val="nil"/>
              <w:left w:val="single" w:sz="8" w:space="0" w:color="auto"/>
              <w:bottom w:val="nil"/>
              <w:right w:val="single" w:sz="8" w:space="0" w:color="000000"/>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vMerge/>
            <w:tcBorders>
              <w:top w:val="nil"/>
              <w:left w:val="single" w:sz="8" w:space="0" w:color="000000"/>
              <w:bottom w:val="nil"/>
              <w:right w:val="nil"/>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vMerge/>
            <w:tcBorders>
              <w:top w:val="nil"/>
              <w:left w:val="single" w:sz="4" w:space="0" w:color="auto"/>
              <w:bottom w:val="single" w:sz="4" w:space="0" w:color="000000"/>
              <w:right w:val="single" w:sz="4" w:space="0" w:color="auto"/>
            </w:tcBorders>
            <w:vAlign w:val="center"/>
            <w:hideMark/>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r w:rsidR="004C60BE" w:rsidRPr="003C6DF2" w:rsidTr="004C60BE">
        <w:trPr>
          <w:trHeight w:val="402"/>
        </w:trPr>
        <w:tc>
          <w:tcPr>
            <w:tcW w:w="123" w:type="pct"/>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31" w:type="pct"/>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86" w:type="pct"/>
            <w:tcBorders>
              <w:top w:val="nil"/>
              <w:left w:val="single" w:sz="8" w:space="0" w:color="000000"/>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Материалы: без ПВХ, латекса и фталатов, полиэтилен</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Соответствие</w:t>
            </w:r>
          </w:p>
        </w:tc>
        <w:tc>
          <w:tcPr>
            <w:tcW w:w="357" w:type="pct"/>
            <w:tcBorders>
              <w:top w:val="nil"/>
              <w:left w:val="nil"/>
              <w:bottom w:val="single" w:sz="8" w:space="0" w:color="000000"/>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 </w:t>
            </w:r>
          </w:p>
        </w:tc>
        <w:tc>
          <w:tcPr>
            <w:tcW w:w="550" w:type="pct"/>
            <w:tcBorders>
              <w:top w:val="nil"/>
              <w:left w:val="nil"/>
              <w:bottom w:val="single" w:sz="8" w:space="0" w:color="000000"/>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33" w:type="pct"/>
            <w:tcBorders>
              <w:top w:val="nil"/>
              <w:left w:val="nil"/>
              <w:bottom w:val="single" w:sz="8" w:space="0" w:color="auto"/>
              <w:right w:val="single" w:sz="8"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r w:rsidRPr="003C6DF2">
              <w:rPr>
                <w:rFonts w:ascii="Times New Roman" w:eastAsia="Times New Roman" w:hAnsi="Times New Roman" w:cs="Times New Roman"/>
                <w:color w:val="000000"/>
                <w:sz w:val="20"/>
                <w:szCs w:val="20"/>
                <w:lang w:eastAsia="ru-RU"/>
              </w:rPr>
              <w:t>Материалы изготовления важны для понимания их совместимости с лекарственными препаратами</w:t>
            </w:r>
          </w:p>
        </w:tc>
        <w:tc>
          <w:tcPr>
            <w:tcW w:w="264" w:type="pct"/>
            <w:tcBorders>
              <w:top w:val="nil"/>
              <w:left w:val="single" w:sz="8" w:space="0" w:color="auto"/>
              <w:bottom w:val="nil"/>
              <w:right w:val="single" w:sz="8" w:space="0" w:color="000000"/>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7" w:type="pct"/>
            <w:tcBorders>
              <w:top w:val="nil"/>
              <w:left w:val="single" w:sz="8" w:space="0" w:color="000000"/>
              <w:bottom w:val="nil"/>
              <w:right w:val="nil"/>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398" w:type="pct"/>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20" w:type="pct"/>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c>
          <w:tcPr>
            <w:tcW w:w="207" w:type="pct"/>
            <w:tcBorders>
              <w:top w:val="nil"/>
              <w:left w:val="single" w:sz="4" w:space="0" w:color="auto"/>
              <w:bottom w:val="single" w:sz="4" w:space="0" w:color="000000"/>
              <w:right w:val="single" w:sz="4" w:space="0" w:color="auto"/>
            </w:tcBorders>
            <w:vAlign w:val="center"/>
          </w:tcPr>
          <w:p w:rsidR="004C60BE" w:rsidRPr="003C6DF2" w:rsidRDefault="004C60BE" w:rsidP="005E262F">
            <w:pPr>
              <w:spacing w:after="0" w:line="240" w:lineRule="auto"/>
              <w:rPr>
                <w:rFonts w:ascii="Times New Roman" w:eastAsia="Times New Roman" w:hAnsi="Times New Roman" w:cs="Times New Roman"/>
                <w:color w:val="000000"/>
                <w:sz w:val="20"/>
                <w:szCs w:val="20"/>
                <w:lang w:eastAsia="ru-RU"/>
              </w:rPr>
            </w:pPr>
          </w:p>
        </w:tc>
      </w:tr>
    </w:tbl>
    <w:p w:rsidR="004C60BE" w:rsidRDefault="004C60BE" w:rsidP="004C60BE">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4C60BE" w:rsidRDefault="004C60BE" w:rsidP="004C60BE">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4C60BE">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0F4" w:rsidRDefault="001C10F4">
      <w:pPr>
        <w:spacing w:after="0" w:line="240" w:lineRule="auto"/>
      </w:pPr>
      <w:r>
        <w:separator/>
      </w:r>
    </w:p>
  </w:endnote>
  <w:endnote w:type="continuationSeparator" w:id="0">
    <w:p w:rsidR="001C10F4" w:rsidRDefault="001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E8D" w:rsidRDefault="008F0E8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0E8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F0E8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0E8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0E8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0E8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C60B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0F4" w:rsidRDefault="001C10F4">
      <w:pPr>
        <w:spacing w:after="0" w:line="240" w:lineRule="auto"/>
      </w:pPr>
      <w:r>
        <w:separator/>
      </w:r>
    </w:p>
  </w:footnote>
  <w:footnote w:type="continuationSeparator" w:id="0">
    <w:p w:rsidR="001C10F4" w:rsidRDefault="001C10F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E8D" w:rsidRDefault="008F0E8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E8D" w:rsidRDefault="008F0E8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0E8D" w:rsidRDefault="008F0E8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10F4"/>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60BE"/>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0E8D"/>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F0B1-D679-4043-AA50-F84CC5C0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2026-03-31T05:37:00Z</dcterms:created>
  <dcterms:modified xsi:type="dcterms:W3CDTF">2026-03-31T05:37:00Z</dcterms:modified>
</cp:coreProperties>
</file>