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BA158D3" wp14:editId="67D970A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15.05.2020 № 05-06/506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29.05.2020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2001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реактивов для лаборатории эндокринологии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197758,Россия, г. Санкт- Петербург, пос.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60 (шестидесяти) календарных дней с момента заключения Контракта. Возможна досрочная поставка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49565F" w:rsidRDefault="0049565F" w:rsidP="0049565F">
      <w:pPr>
        <w:pStyle w:val="a7"/>
        <w:widowControl w:val="0"/>
        <w:spacing w:after="0"/>
        <w:ind w:left="644"/>
        <w:jc w:val="center"/>
        <w:rPr>
          <w:rFonts w:ascii="Times New Roman" w:hAnsi="Times New Roman"/>
          <w:b/>
          <w:sz w:val="24"/>
          <w:szCs w:val="26"/>
        </w:rPr>
      </w:pPr>
    </w:p>
    <w:p w:rsidR="0049565F" w:rsidRPr="000437D6" w:rsidRDefault="0049565F" w:rsidP="0049565F">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29"/>
        <w:gridCol w:w="5812"/>
        <w:gridCol w:w="622"/>
        <w:gridCol w:w="709"/>
        <w:gridCol w:w="1510"/>
        <w:gridCol w:w="1031"/>
        <w:gridCol w:w="1031"/>
        <w:gridCol w:w="1031"/>
        <w:gridCol w:w="1031"/>
      </w:tblGrid>
      <w:tr w:rsidR="0049565F" w:rsidRPr="00065472" w:rsidTr="007A261B">
        <w:trPr>
          <w:trHeight w:val="20"/>
          <w:jc w:val="center"/>
        </w:trPr>
        <w:tc>
          <w:tcPr>
            <w:tcW w:w="673" w:type="dxa"/>
            <w:vAlign w:val="center"/>
            <w:hideMark/>
          </w:tcPr>
          <w:p w:rsidR="0049565F" w:rsidRDefault="0049565F" w:rsidP="007A261B">
            <w:pPr>
              <w:spacing w:after="0" w:line="240" w:lineRule="auto"/>
              <w:jc w:val="center"/>
              <w:rPr>
                <w:rFonts w:ascii="Times New Roman" w:hAnsi="Times New Roman"/>
                <w:b/>
                <w:sz w:val="24"/>
                <w:lang w:eastAsia="ru-RU"/>
              </w:rPr>
            </w:pPr>
          </w:p>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 п/п</w:t>
            </w:r>
          </w:p>
        </w:tc>
        <w:tc>
          <w:tcPr>
            <w:tcW w:w="1929" w:type="dxa"/>
            <w:vAlign w:val="center"/>
            <w:hideMark/>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 xml:space="preserve">Наименование товара </w:t>
            </w:r>
          </w:p>
        </w:tc>
        <w:tc>
          <w:tcPr>
            <w:tcW w:w="5812" w:type="dxa"/>
            <w:vAlign w:val="center"/>
            <w:hideMark/>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Требования к качеству, техническим и функциональным характеристикам товара</w:t>
            </w:r>
          </w:p>
        </w:tc>
        <w:tc>
          <w:tcPr>
            <w:tcW w:w="622" w:type="dxa"/>
            <w:vAlign w:val="center"/>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Кол-во</w:t>
            </w:r>
          </w:p>
        </w:tc>
        <w:tc>
          <w:tcPr>
            <w:tcW w:w="709" w:type="dxa"/>
            <w:vAlign w:val="center"/>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Ед. изм.</w:t>
            </w:r>
          </w:p>
        </w:tc>
        <w:tc>
          <w:tcPr>
            <w:tcW w:w="1510" w:type="dxa"/>
            <w:vAlign w:val="center"/>
          </w:tcPr>
          <w:p w:rsidR="0049565F" w:rsidRPr="00065472" w:rsidRDefault="0049565F" w:rsidP="007A261B">
            <w:pPr>
              <w:spacing w:after="0" w:line="240" w:lineRule="auto"/>
              <w:jc w:val="center"/>
              <w:rPr>
                <w:rFonts w:ascii="Times New Roman" w:hAnsi="Times New Roman"/>
                <w:b/>
                <w:sz w:val="24"/>
                <w:lang w:eastAsia="ru-RU"/>
              </w:rPr>
            </w:pPr>
            <w:r>
              <w:rPr>
                <w:rFonts w:ascii="Times New Roman" w:hAnsi="Times New Roman"/>
                <w:b/>
                <w:sz w:val="24"/>
                <w:lang w:eastAsia="ru-RU"/>
              </w:rPr>
              <w:t>ОКПД2/КТРУ</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Страна происхождения</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НДС%</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Цена за ед. с НДС</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b/>
                <w:sz w:val="24"/>
                <w:lang w:eastAsia="ru-RU"/>
              </w:rPr>
            </w:pPr>
            <w:r w:rsidRPr="00065472">
              <w:rPr>
                <w:rFonts w:ascii="Times New Roman" w:hAnsi="Times New Roman"/>
                <w:b/>
                <w:sz w:val="24"/>
                <w:lang w:eastAsia="ru-RU"/>
              </w:rPr>
              <w:t>Сумма</w:t>
            </w:r>
          </w:p>
        </w:tc>
      </w:tr>
      <w:tr w:rsidR="0049565F" w:rsidRPr="00065472" w:rsidTr="0049565F">
        <w:trPr>
          <w:trHeight w:val="426"/>
          <w:jc w:val="center"/>
        </w:trPr>
        <w:tc>
          <w:tcPr>
            <w:tcW w:w="673" w:type="dxa"/>
            <w:vAlign w:val="center"/>
          </w:tcPr>
          <w:p w:rsidR="0049565F" w:rsidRPr="00065472" w:rsidRDefault="0049565F" w:rsidP="007A261B">
            <w:pPr>
              <w:pStyle w:val="a7"/>
              <w:numPr>
                <w:ilvl w:val="0"/>
                <w:numId w:val="20"/>
              </w:numPr>
              <w:spacing w:after="0" w:line="240" w:lineRule="auto"/>
              <w:ind w:left="139" w:hanging="283"/>
              <w:jc w:val="center"/>
              <w:rPr>
                <w:rFonts w:ascii="Times New Roman" w:hAnsi="Times New Roman"/>
                <w:sz w:val="24"/>
                <w:lang w:eastAsia="ru-RU"/>
              </w:rPr>
            </w:pPr>
          </w:p>
        </w:tc>
        <w:tc>
          <w:tcPr>
            <w:tcW w:w="1929" w:type="dxa"/>
            <w:vAlign w:val="center"/>
          </w:tcPr>
          <w:p w:rsidR="0049565F" w:rsidRPr="0049565F" w:rsidRDefault="0049565F" w:rsidP="0049565F">
            <w:pPr>
              <w:spacing w:after="0"/>
              <w:jc w:val="center"/>
              <w:rPr>
                <w:rFonts w:ascii="Times New Roman" w:hAnsi="Times New Roman"/>
                <w:color w:val="000000"/>
                <w:szCs w:val="20"/>
              </w:rPr>
            </w:pPr>
            <w:r>
              <w:rPr>
                <w:rFonts w:ascii="Times New Roman" w:hAnsi="Times New Roman"/>
                <w:color w:val="000000"/>
                <w:szCs w:val="20"/>
              </w:rPr>
              <w:t xml:space="preserve">Динатриевая </w:t>
            </w:r>
            <w:r w:rsidRPr="0049565F">
              <w:rPr>
                <w:rFonts w:ascii="Times New Roman" w:hAnsi="Times New Roman"/>
                <w:color w:val="000000"/>
                <w:szCs w:val="20"/>
              </w:rPr>
              <w:t>соль</w:t>
            </w:r>
          </w:p>
        </w:tc>
        <w:tc>
          <w:tcPr>
            <w:tcW w:w="5812" w:type="dxa"/>
          </w:tcPr>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Динатриевая соль</w:t>
            </w:r>
            <w:r w:rsidRPr="0049565F">
              <w:rPr>
                <w:rFonts w:ascii="Times New Roman" w:hAnsi="Times New Roman"/>
                <w:color w:val="000000"/>
                <w:szCs w:val="20"/>
              </w:rPr>
              <w:t>, д</w:t>
            </w:r>
            <w:r>
              <w:rPr>
                <w:rFonts w:ascii="Times New Roman" w:hAnsi="Times New Roman"/>
                <w:color w:val="000000"/>
                <w:szCs w:val="20"/>
              </w:rPr>
              <w:t>вухводная, для аналитики.</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 xml:space="preserve">Органическое </w:t>
            </w:r>
            <w:r w:rsidRPr="0049565F">
              <w:rPr>
                <w:rFonts w:ascii="Times New Roman" w:hAnsi="Times New Roman"/>
                <w:color w:val="000000"/>
                <w:szCs w:val="20"/>
              </w:rPr>
              <w:t>соединение, натриевая соль этилендиаминтетрауксусной кислоты</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Формула: C10H14N2Na2O8.2H2O</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Молекулярная масса = 372,24 г/моль</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 xml:space="preserve">Внешний вид: Белый кристаллический порошок. </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Те</w:t>
            </w:r>
            <w:r>
              <w:rPr>
                <w:rFonts w:ascii="Times New Roman" w:hAnsi="Times New Roman"/>
                <w:color w:val="000000"/>
                <w:szCs w:val="20"/>
              </w:rPr>
              <w:t>мпература горения: &gt;200 °C</w:t>
            </w:r>
            <w:r w:rsidRPr="0049565F">
              <w:rPr>
                <w:rFonts w:ascii="Times New Roman" w:hAnsi="Times New Roman"/>
                <w:color w:val="000000"/>
                <w:szCs w:val="20"/>
              </w:rPr>
              <w:t xml:space="preserve">                                                                                                                          </w:t>
            </w:r>
          </w:p>
          <w:p w:rsid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Назначение: используется при электрофорезе                                                                                                                                         Количество в упаковке – не менее 100 грамм.</w:t>
            </w:r>
          </w:p>
        </w:tc>
        <w:tc>
          <w:tcPr>
            <w:tcW w:w="622" w:type="dxa"/>
            <w:vAlign w:val="center"/>
          </w:tcPr>
          <w:p w:rsidR="0049565F" w:rsidRPr="00584728" w:rsidRDefault="0049565F" w:rsidP="007A261B">
            <w:pPr>
              <w:spacing w:after="0"/>
              <w:jc w:val="center"/>
              <w:rPr>
                <w:rFonts w:ascii="Times New Roman" w:hAnsi="Times New Roman"/>
                <w:color w:val="000000"/>
                <w:szCs w:val="20"/>
              </w:rPr>
            </w:pPr>
            <w:r>
              <w:rPr>
                <w:rFonts w:ascii="Times New Roman" w:hAnsi="Times New Roman"/>
                <w:color w:val="000000"/>
                <w:szCs w:val="20"/>
              </w:rPr>
              <w:t>2</w:t>
            </w:r>
          </w:p>
        </w:tc>
        <w:tc>
          <w:tcPr>
            <w:tcW w:w="709" w:type="dxa"/>
            <w:vAlign w:val="center"/>
          </w:tcPr>
          <w:p w:rsidR="0049565F" w:rsidRPr="00584728" w:rsidRDefault="0049565F" w:rsidP="007A261B">
            <w:pPr>
              <w:spacing w:after="0"/>
              <w:jc w:val="center"/>
              <w:rPr>
                <w:rFonts w:ascii="Times New Roman" w:hAnsi="Times New Roman"/>
                <w:color w:val="000000"/>
                <w:szCs w:val="20"/>
              </w:rPr>
            </w:pPr>
            <w:r w:rsidRPr="00584728">
              <w:rPr>
                <w:rFonts w:ascii="Times New Roman" w:hAnsi="Times New Roman"/>
                <w:color w:val="000000"/>
                <w:szCs w:val="20"/>
              </w:rPr>
              <w:t>упак</w:t>
            </w:r>
          </w:p>
        </w:tc>
        <w:tc>
          <w:tcPr>
            <w:tcW w:w="1510" w:type="dxa"/>
            <w:vAlign w:val="center"/>
          </w:tcPr>
          <w:p w:rsidR="0049565F" w:rsidRPr="004D05A4" w:rsidRDefault="0049565F" w:rsidP="007A261B">
            <w:pPr>
              <w:spacing w:after="0" w:line="240" w:lineRule="auto"/>
              <w:jc w:val="center"/>
              <w:rPr>
                <w:rFonts w:ascii="Times New Roman" w:hAnsi="Times New Roman"/>
                <w:lang w:eastAsia="ru-RU"/>
              </w:rPr>
            </w:pPr>
            <w:r w:rsidRPr="0049565F">
              <w:rPr>
                <w:rFonts w:ascii="Times New Roman" w:hAnsi="Times New Roman"/>
                <w:lang w:eastAsia="ru-RU"/>
              </w:rPr>
              <w:t>20.14.32.122</w:t>
            </w:r>
            <w:r>
              <w:rPr>
                <w:rFonts w:ascii="Times New Roman" w:hAnsi="Times New Roman"/>
                <w:lang w:eastAsia="ru-RU"/>
              </w:rPr>
              <w:t>/</w:t>
            </w:r>
            <w:r w:rsidRPr="0049565F">
              <w:rPr>
                <w:rFonts w:ascii="Times New Roman" w:hAnsi="Times New Roman"/>
                <w:lang w:eastAsia="ru-RU"/>
              </w:rPr>
              <w:t xml:space="preserve"> </w:t>
            </w:r>
            <w:r w:rsidRPr="004D05A4">
              <w:rPr>
                <w:rFonts w:ascii="Times New Roman" w:hAnsi="Times New Roman"/>
                <w:lang w:eastAsia="ru-RU"/>
              </w:rPr>
              <w:t>нет</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r>
      <w:tr w:rsidR="0049565F" w:rsidRPr="00065472" w:rsidTr="0049565F">
        <w:trPr>
          <w:trHeight w:val="108"/>
          <w:jc w:val="center"/>
        </w:trPr>
        <w:tc>
          <w:tcPr>
            <w:tcW w:w="673" w:type="dxa"/>
            <w:vAlign w:val="center"/>
          </w:tcPr>
          <w:p w:rsidR="0049565F" w:rsidRPr="00065472" w:rsidRDefault="0049565F" w:rsidP="007A261B">
            <w:pPr>
              <w:pStyle w:val="a7"/>
              <w:numPr>
                <w:ilvl w:val="0"/>
                <w:numId w:val="20"/>
              </w:numPr>
              <w:spacing w:after="0" w:line="240" w:lineRule="auto"/>
              <w:ind w:left="139" w:hanging="283"/>
              <w:jc w:val="center"/>
              <w:rPr>
                <w:rFonts w:ascii="Times New Roman" w:hAnsi="Times New Roman"/>
                <w:sz w:val="24"/>
                <w:lang w:eastAsia="ru-RU"/>
              </w:rPr>
            </w:pPr>
          </w:p>
        </w:tc>
        <w:tc>
          <w:tcPr>
            <w:tcW w:w="1929" w:type="dxa"/>
            <w:vAlign w:val="center"/>
          </w:tcPr>
          <w:p w:rsidR="0049565F" w:rsidRPr="0049565F" w:rsidRDefault="0049565F" w:rsidP="0049565F">
            <w:pPr>
              <w:spacing w:after="0"/>
              <w:jc w:val="center"/>
              <w:rPr>
                <w:rFonts w:ascii="Times New Roman" w:hAnsi="Times New Roman"/>
                <w:color w:val="000000"/>
                <w:szCs w:val="20"/>
              </w:rPr>
            </w:pPr>
            <w:r w:rsidRPr="0049565F">
              <w:rPr>
                <w:rFonts w:ascii="Times New Roman" w:hAnsi="Times New Roman"/>
                <w:color w:val="000000"/>
                <w:szCs w:val="20"/>
              </w:rPr>
              <w:t>Сульфат аммония</w:t>
            </w:r>
          </w:p>
        </w:tc>
        <w:tc>
          <w:tcPr>
            <w:tcW w:w="5812" w:type="dxa"/>
          </w:tcPr>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Pr>
                <w:rFonts w:ascii="Times New Roman" w:hAnsi="Times New Roman"/>
                <w:color w:val="000000"/>
                <w:szCs w:val="20"/>
              </w:rPr>
              <w:t>Сульфат а</w:t>
            </w:r>
            <w:r w:rsidRPr="0049565F">
              <w:rPr>
                <w:rFonts w:ascii="Times New Roman" w:hAnsi="Times New Roman"/>
                <w:color w:val="000000"/>
                <w:szCs w:val="20"/>
              </w:rPr>
              <w:t>ммония концентрация не менее 99,5%                                                                                                                                      Формула: Н8N2О4S</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Молекулярная масса: 132,14 г/моль</w:t>
            </w:r>
          </w:p>
          <w:p w:rsid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 xml:space="preserve">Внешний вид: </w:t>
            </w:r>
            <w:r w:rsidRPr="0049565F">
              <w:rPr>
                <w:rFonts w:ascii="Times New Roman" w:hAnsi="Times New Roman"/>
                <w:color w:val="000000"/>
                <w:szCs w:val="20"/>
              </w:rPr>
              <w:tab/>
              <w:t>Белый кристаллический порошок                                                                                                                              Назначение: для молекулярной биологии                                                                                                                                                            Количество в упаковке – не менее 500 грамм.</w:t>
            </w:r>
          </w:p>
        </w:tc>
        <w:tc>
          <w:tcPr>
            <w:tcW w:w="622" w:type="dxa"/>
            <w:vAlign w:val="center"/>
          </w:tcPr>
          <w:p w:rsidR="0049565F" w:rsidRPr="00584728" w:rsidRDefault="0049565F" w:rsidP="007A261B">
            <w:pPr>
              <w:spacing w:after="0"/>
              <w:jc w:val="center"/>
              <w:rPr>
                <w:rFonts w:ascii="Times New Roman" w:hAnsi="Times New Roman"/>
                <w:color w:val="000000"/>
                <w:szCs w:val="20"/>
              </w:rPr>
            </w:pPr>
            <w:r>
              <w:rPr>
                <w:rFonts w:ascii="Times New Roman" w:hAnsi="Times New Roman"/>
                <w:color w:val="000000"/>
                <w:szCs w:val="20"/>
              </w:rPr>
              <w:t>2</w:t>
            </w:r>
          </w:p>
        </w:tc>
        <w:tc>
          <w:tcPr>
            <w:tcW w:w="709" w:type="dxa"/>
            <w:vAlign w:val="center"/>
          </w:tcPr>
          <w:p w:rsidR="0049565F" w:rsidRPr="00584728" w:rsidRDefault="0049565F" w:rsidP="007A261B">
            <w:pPr>
              <w:spacing w:after="0"/>
              <w:jc w:val="center"/>
              <w:rPr>
                <w:rFonts w:ascii="Times New Roman" w:hAnsi="Times New Roman"/>
                <w:color w:val="000000"/>
                <w:szCs w:val="20"/>
              </w:rPr>
            </w:pPr>
            <w:r w:rsidRPr="00584728">
              <w:rPr>
                <w:rFonts w:ascii="Times New Roman" w:hAnsi="Times New Roman"/>
                <w:color w:val="000000"/>
                <w:szCs w:val="20"/>
              </w:rPr>
              <w:t>упак</w:t>
            </w:r>
          </w:p>
        </w:tc>
        <w:tc>
          <w:tcPr>
            <w:tcW w:w="1510" w:type="dxa"/>
            <w:vAlign w:val="center"/>
          </w:tcPr>
          <w:p w:rsidR="0049565F" w:rsidRPr="004D05A4" w:rsidRDefault="0049565F" w:rsidP="007A261B">
            <w:pPr>
              <w:spacing w:after="0"/>
              <w:jc w:val="center"/>
            </w:pPr>
            <w:r w:rsidRPr="0049565F">
              <w:rPr>
                <w:rFonts w:ascii="Times New Roman" w:hAnsi="Times New Roman"/>
                <w:lang w:eastAsia="ru-RU"/>
              </w:rPr>
              <w:t>20.15.32.000</w:t>
            </w:r>
            <w:r>
              <w:rPr>
                <w:rFonts w:ascii="Times New Roman" w:hAnsi="Times New Roman"/>
                <w:lang w:eastAsia="ru-RU"/>
              </w:rPr>
              <w:t>/</w:t>
            </w:r>
            <w:r w:rsidRPr="0049565F">
              <w:rPr>
                <w:rFonts w:ascii="Times New Roman" w:hAnsi="Times New Roman"/>
                <w:lang w:eastAsia="ru-RU"/>
              </w:rPr>
              <w:t xml:space="preserve"> </w:t>
            </w:r>
            <w:r>
              <w:rPr>
                <w:rFonts w:ascii="Times New Roman" w:hAnsi="Times New Roman"/>
                <w:lang w:eastAsia="ru-RU"/>
              </w:rPr>
              <w:t xml:space="preserve"> </w:t>
            </w:r>
            <w:r w:rsidRPr="004D05A4">
              <w:rPr>
                <w:rFonts w:ascii="Times New Roman" w:hAnsi="Times New Roman"/>
                <w:lang w:eastAsia="ru-RU"/>
              </w:rPr>
              <w:t>нет</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r>
      <w:tr w:rsidR="0049565F" w:rsidRPr="00065472" w:rsidTr="0049565F">
        <w:trPr>
          <w:trHeight w:val="108"/>
          <w:jc w:val="center"/>
        </w:trPr>
        <w:tc>
          <w:tcPr>
            <w:tcW w:w="673" w:type="dxa"/>
            <w:vAlign w:val="center"/>
          </w:tcPr>
          <w:p w:rsidR="0049565F" w:rsidRPr="00065472" w:rsidRDefault="0049565F" w:rsidP="007A261B">
            <w:pPr>
              <w:pStyle w:val="a7"/>
              <w:numPr>
                <w:ilvl w:val="0"/>
                <w:numId w:val="20"/>
              </w:numPr>
              <w:spacing w:after="0" w:line="240" w:lineRule="auto"/>
              <w:ind w:left="139" w:hanging="283"/>
              <w:jc w:val="center"/>
              <w:rPr>
                <w:rFonts w:ascii="Times New Roman" w:hAnsi="Times New Roman"/>
                <w:sz w:val="24"/>
                <w:lang w:eastAsia="ru-RU"/>
              </w:rPr>
            </w:pPr>
          </w:p>
        </w:tc>
        <w:tc>
          <w:tcPr>
            <w:tcW w:w="1929" w:type="dxa"/>
            <w:vAlign w:val="center"/>
          </w:tcPr>
          <w:p w:rsidR="0049565F" w:rsidRPr="0049565F" w:rsidRDefault="0049565F" w:rsidP="0049565F">
            <w:pPr>
              <w:spacing w:after="0"/>
              <w:jc w:val="center"/>
              <w:rPr>
                <w:rFonts w:ascii="Times New Roman" w:hAnsi="Times New Roman"/>
                <w:color w:val="000000"/>
                <w:szCs w:val="20"/>
              </w:rPr>
            </w:pPr>
            <w:r w:rsidRPr="0049565F">
              <w:rPr>
                <w:rFonts w:ascii="Times New Roman" w:hAnsi="Times New Roman"/>
                <w:color w:val="000000"/>
                <w:szCs w:val="20"/>
              </w:rPr>
              <w:t>Бромфеноловый синий индикатор</w:t>
            </w:r>
          </w:p>
        </w:tc>
        <w:tc>
          <w:tcPr>
            <w:tcW w:w="5812" w:type="dxa"/>
          </w:tcPr>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Бромфеноловый синий индикатор, натриевая соль, концентрация не менее 95%</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Молекулярная масса: 691,94 г/моль</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Формула: С19Н9 Br4NaO5S</w:t>
            </w:r>
          </w:p>
          <w:p w:rsidR="0049565F" w:rsidRPr="0049565F"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Внешний вид: оранжево-коричневый порошок</w:t>
            </w:r>
          </w:p>
          <w:p w:rsidR="0049565F" w:rsidRPr="00584728" w:rsidRDefault="0049565F" w:rsidP="0049565F">
            <w:pPr>
              <w:autoSpaceDE w:val="0"/>
              <w:autoSpaceDN w:val="0"/>
              <w:adjustRightInd w:val="0"/>
              <w:spacing w:after="0" w:line="240" w:lineRule="auto"/>
              <w:rPr>
                <w:rFonts w:ascii="Times New Roman" w:hAnsi="Times New Roman"/>
                <w:color w:val="000000"/>
                <w:szCs w:val="20"/>
              </w:rPr>
            </w:pPr>
            <w:r w:rsidRPr="0049565F">
              <w:rPr>
                <w:rFonts w:ascii="Times New Roman" w:hAnsi="Times New Roman"/>
                <w:color w:val="000000"/>
                <w:szCs w:val="20"/>
              </w:rPr>
              <w:t>Назначение: для электрофореза                                                                                                                                                                           Количество в упаковке – не менее 5 грамм.</w:t>
            </w:r>
          </w:p>
        </w:tc>
        <w:tc>
          <w:tcPr>
            <w:tcW w:w="622" w:type="dxa"/>
            <w:vAlign w:val="center"/>
          </w:tcPr>
          <w:p w:rsidR="0049565F" w:rsidRPr="00584728" w:rsidRDefault="0049565F" w:rsidP="007A261B">
            <w:pPr>
              <w:spacing w:after="0"/>
              <w:jc w:val="center"/>
              <w:rPr>
                <w:rFonts w:ascii="Times New Roman" w:hAnsi="Times New Roman"/>
                <w:color w:val="000000"/>
                <w:szCs w:val="20"/>
              </w:rPr>
            </w:pPr>
            <w:r>
              <w:rPr>
                <w:rFonts w:ascii="Times New Roman" w:hAnsi="Times New Roman"/>
                <w:color w:val="000000"/>
                <w:szCs w:val="20"/>
              </w:rPr>
              <w:t>1</w:t>
            </w:r>
          </w:p>
        </w:tc>
        <w:tc>
          <w:tcPr>
            <w:tcW w:w="709" w:type="dxa"/>
            <w:vAlign w:val="center"/>
          </w:tcPr>
          <w:p w:rsidR="0049565F" w:rsidRPr="00584728" w:rsidRDefault="0049565F" w:rsidP="007A261B">
            <w:pPr>
              <w:spacing w:after="0"/>
              <w:jc w:val="center"/>
              <w:rPr>
                <w:rFonts w:ascii="Times New Roman" w:hAnsi="Times New Roman"/>
                <w:color w:val="000000"/>
                <w:szCs w:val="20"/>
              </w:rPr>
            </w:pPr>
            <w:r w:rsidRPr="00584728">
              <w:rPr>
                <w:rFonts w:ascii="Times New Roman" w:hAnsi="Times New Roman"/>
                <w:color w:val="000000"/>
                <w:szCs w:val="20"/>
              </w:rPr>
              <w:t>упак</w:t>
            </w:r>
          </w:p>
        </w:tc>
        <w:tc>
          <w:tcPr>
            <w:tcW w:w="1510" w:type="dxa"/>
            <w:vAlign w:val="center"/>
          </w:tcPr>
          <w:p w:rsidR="0049565F" w:rsidRPr="004D05A4" w:rsidRDefault="0049565F" w:rsidP="007A261B">
            <w:pPr>
              <w:spacing w:after="0"/>
              <w:jc w:val="center"/>
            </w:pPr>
            <w:r w:rsidRPr="0049565F">
              <w:rPr>
                <w:rFonts w:ascii="Times New Roman" w:hAnsi="Times New Roman"/>
                <w:lang w:eastAsia="ru-RU"/>
              </w:rPr>
              <w:t>20.59.52.192</w:t>
            </w:r>
            <w:r>
              <w:rPr>
                <w:rFonts w:ascii="Times New Roman" w:hAnsi="Times New Roman"/>
                <w:lang w:eastAsia="ru-RU"/>
              </w:rPr>
              <w:t>/</w:t>
            </w:r>
            <w:r w:rsidRPr="0049565F">
              <w:rPr>
                <w:rFonts w:ascii="Times New Roman" w:hAnsi="Times New Roman"/>
                <w:lang w:eastAsia="ru-RU"/>
              </w:rPr>
              <w:t xml:space="preserve"> </w:t>
            </w:r>
            <w:r>
              <w:rPr>
                <w:rFonts w:ascii="Times New Roman" w:hAnsi="Times New Roman"/>
                <w:lang w:eastAsia="ru-RU"/>
              </w:rPr>
              <w:t xml:space="preserve"> </w:t>
            </w:r>
            <w:r w:rsidRPr="004D05A4">
              <w:rPr>
                <w:rFonts w:ascii="Times New Roman" w:hAnsi="Times New Roman"/>
                <w:lang w:eastAsia="ru-RU"/>
              </w:rPr>
              <w:t>нет</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r>
      <w:tr w:rsidR="0049565F" w:rsidRPr="00065472" w:rsidTr="0049565F">
        <w:trPr>
          <w:trHeight w:val="143"/>
          <w:jc w:val="center"/>
        </w:trPr>
        <w:tc>
          <w:tcPr>
            <w:tcW w:w="673" w:type="dxa"/>
            <w:vAlign w:val="center"/>
          </w:tcPr>
          <w:p w:rsidR="0049565F" w:rsidRPr="00065472" w:rsidRDefault="0049565F" w:rsidP="007A261B">
            <w:pPr>
              <w:pStyle w:val="a7"/>
              <w:numPr>
                <w:ilvl w:val="0"/>
                <w:numId w:val="20"/>
              </w:numPr>
              <w:spacing w:after="0" w:line="240" w:lineRule="auto"/>
              <w:ind w:left="139" w:hanging="283"/>
              <w:jc w:val="center"/>
              <w:rPr>
                <w:rFonts w:ascii="Times New Roman" w:hAnsi="Times New Roman"/>
                <w:sz w:val="24"/>
                <w:lang w:eastAsia="ru-RU"/>
              </w:rPr>
            </w:pPr>
          </w:p>
        </w:tc>
        <w:tc>
          <w:tcPr>
            <w:tcW w:w="1929" w:type="dxa"/>
            <w:vAlign w:val="center"/>
          </w:tcPr>
          <w:p w:rsidR="0049565F" w:rsidRPr="0049565F" w:rsidRDefault="0049565F" w:rsidP="0049565F">
            <w:pPr>
              <w:spacing w:after="0"/>
              <w:jc w:val="center"/>
              <w:rPr>
                <w:rFonts w:ascii="Times New Roman" w:hAnsi="Times New Roman"/>
                <w:color w:val="000000"/>
                <w:szCs w:val="20"/>
              </w:rPr>
            </w:pPr>
            <w:r w:rsidRPr="0049565F">
              <w:rPr>
                <w:rFonts w:ascii="Times New Roman" w:hAnsi="Times New Roman"/>
                <w:color w:val="000000"/>
                <w:szCs w:val="20"/>
              </w:rPr>
              <w:t>Таблетки фосфатно-солевого буфера</w:t>
            </w:r>
          </w:p>
        </w:tc>
        <w:tc>
          <w:tcPr>
            <w:tcW w:w="5812" w:type="dxa"/>
          </w:tcPr>
          <w:p w:rsidR="0049565F" w:rsidRPr="0049565F" w:rsidRDefault="0049565F" w:rsidP="0049565F">
            <w:pPr>
              <w:spacing w:after="0" w:line="240" w:lineRule="auto"/>
              <w:rPr>
                <w:rFonts w:ascii="Times New Roman" w:hAnsi="Times New Roman"/>
                <w:color w:val="000000"/>
                <w:szCs w:val="20"/>
              </w:rPr>
            </w:pPr>
            <w:r w:rsidRPr="0049565F">
              <w:rPr>
                <w:rFonts w:ascii="Times New Roman" w:hAnsi="Times New Roman"/>
                <w:color w:val="000000"/>
                <w:szCs w:val="20"/>
              </w:rPr>
              <w:t>Таблетки фосфатно-солевого буфера, 1 таблетка на 100 мл раствора, уровень рН 7.4                                                                                                                                                               Внешний вид: Таблетки белого цвета</w:t>
            </w:r>
          </w:p>
          <w:p w:rsidR="0049565F" w:rsidRPr="0049565F" w:rsidRDefault="0049565F" w:rsidP="0049565F">
            <w:pPr>
              <w:spacing w:after="0" w:line="240" w:lineRule="auto"/>
              <w:rPr>
                <w:rFonts w:ascii="Times New Roman" w:hAnsi="Times New Roman"/>
                <w:color w:val="000000"/>
                <w:szCs w:val="20"/>
              </w:rPr>
            </w:pPr>
            <w:r w:rsidRPr="0049565F">
              <w:rPr>
                <w:rFonts w:ascii="Times New Roman" w:hAnsi="Times New Roman"/>
                <w:color w:val="000000"/>
                <w:szCs w:val="20"/>
              </w:rPr>
              <w:t>Время раствор</w:t>
            </w:r>
            <w:r>
              <w:rPr>
                <w:rFonts w:ascii="Times New Roman" w:hAnsi="Times New Roman"/>
                <w:color w:val="000000"/>
                <w:szCs w:val="20"/>
              </w:rPr>
              <w:t>ения при перемешивании не более</w:t>
            </w:r>
            <w:r w:rsidRPr="0049565F">
              <w:rPr>
                <w:rFonts w:ascii="Times New Roman" w:hAnsi="Times New Roman"/>
                <w:color w:val="000000"/>
                <w:szCs w:val="20"/>
              </w:rPr>
              <w:t xml:space="preserve"> 30 минут.</w:t>
            </w:r>
          </w:p>
          <w:p w:rsidR="0049565F" w:rsidRPr="00584728" w:rsidRDefault="0049565F" w:rsidP="0049565F">
            <w:pPr>
              <w:spacing w:after="0" w:line="240" w:lineRule="auto"/>
              <w:rPr>
                <w:rFonts w:ascii="Times New Roman" w:hAnsi="Times New Roman"/>
                <w:color w:val="000000"/>
                <w:szCs w:val="20"/>
              </w:rPr>
            </w:pPr>
            <w:r w:rsidRPr="0049565F">
              <w:rPr>
                <w:rFonts w:ascii="Times New Roman" w:hAnsi="Times New Roman"/>
                <w:color w:val="000000"/>
                <w:szCs w:val="20"/>
              </w:rPr>
              <w:t>Количество в упаковке – не менее 500 таблеток.</w:t>
            </w:r>
          </w:p>
        </w:tc>
        <w:tc>
          <w:tcPr>
            <w:tcW w:w="622" w:type="dxa"/>
            <w:vAlign w:val="center"/>
          </w:tcPr>
          <w:p w:rsidR="0049565F" w:rsidRPr="00584728" w:rsidRDefault="0049565F" w:rsidP="007A261B">
            <w:pPr>
              <w:spacing w:after="0"/>
              <w:jc w:val="center"/>
              <w:rPr>
                <w:rFonts w:ascii="Times New Roman" w:hAnsi="Times New Roman"/>
                <w:color w:val="000000"/>
                <w:szCs w:val="20"/>
              </w:rPr>
            </w:pPr>
            <w:r>
              <w:rPr>
                <w:rFonts w:ascii="Times New Roman" w:hAnsi="Times New Roman"/>
                <w:color w:val="000000"/>
                <w:szCs w:val="20"/>
              </w:rPr>
              <w:t>3</w:t>
            </w:r>
          </w:p>
        </w:tc>
        <w:tc>
          <w:tcPr>
            <w:tcW w:w="709" w:type="dxa"/>
            <w:vAlign w:val="center"/>
          </w:tcPr>
          <w:p w:rsidR="0049565F" w:rsidRPr="00584728" w:rsidRDefault="0049565F" w:rsidP="007A261B">
            <w:pPr>
              <w:spacing w:after="0"/>
              <w:jc w:val="center"/>
              <w:rPr>
                <w:rFonts w:ascii="Times New Roman" w:hAnsi="Times New Roman"/>
                <w:color w:val="000000"/>
                <w:szCs w:val="20"/>
              </w:rPr>
            </w:pPr>
            <w:r w:rsidRPr="00584728">
              <w:rPr>
                <w:rFonts w:ascii="Times New Roman" w:hAnsi="Times New Roman"/>
                <w:color w:val="000000"/>
                <w:szCs w:val="20"/>
              </w:rPr>
              <w:t>упак</w:t>
            </w:r>
          </w:p>
        </w:tc>
        <w:tc>
          <w:tcPr>
            <w:tcW w:w="1510" w:type="dxa"/>
            <w:vAlign w:val="center"/>
          </w:tcPr>
          <w:p w:rsidR="0049565F" w:rsidRDefault="0049565F" w:rsidP="007A261B">
            <w:pPr>
              <w:spacing w:after="0"/>
              <w:jc w:val="center"/>
              <w:rPr>
                <w:rFonts w:ascii="Times New Roman" w:hAnsi="Times New Roman"/>
                <w:lang w:eastAsia="ru-RU"/>
              </w:rPr>
            </w:pPr>
            <w:r w:rsidRPr="0049565F">
              <w:rPr>
                <w:rFonts w:ascii="Times New Roman" w:hAnsi="Times New Roman"/>
                <w:lang w:eastAsia="ru-RU"/>
              </w:rPr>
              <w:t>20.59.52.194</w:t>
            </w:r>
            <w:r>
              <w:rPr>
                <w:rFonts w:ascii="Times New Roman" w:hAnsi="Times New Roman"/>
                <w:lang w:eastAsia="ru-RU"/>
              </w:rPr>
              <w:t>/</w:t>
            </w:r>
            <w:r w:rsidRPr="0049565F">
              <w:rPr>
                <w:rFonts w:ascii="Times New Roman" w:hAnsi="Times New Roman"/>
                <w:lang w:eastAsia="ru-RU"/>
              </w:rPr>
              <w:t xml:space="preserve"> </w:t>
            </w:r>
          </w:p>
          <w:p w:rsidR="0049565F" w:rsidRPr="004D05A4" w:rsidRDefault="0049565F" w:rsidP="007A261B">
            <w:pPr>
              <w:spacing w:after="0"/>
              <w:jc w:val="center"/>
            </w:pPr>
            <w:r w:rsidRPr="004D05A4">
              <w:rPr>
                <w:rFonts w:ascii="Times New Roman" w:hAnsi="Times New Roman"/>
                <w:lang w:eastAsia="ru-RU"/>
              </w:rPr>
              <w:t>нет</w:t>
            </w: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c>
          <w:tcPr>
            <w:tcW w:w="1031" w:type="dxa"/>
            <w:shd w:val="clear" w:color="auto" w:fill="FFFFCC"/>
            <w:vAlign w:val="center"/>
          </w:tcPr>
          <w:p w:rsidR="0049565F" w:rsidRPr="00065472" w:rsidRDefault="0049565F" w:rsidP="007A261B">
            <w:pPr>
              <w:spacing w:after="0" w:line="240" w:lineRule="auto"/>
              <w:jc w:val="center"/>
              <w:rPr>
                <w:rFonts w:ascii="Times New Roman" w:hAnsi="Times New Roman"/>
                <w:sz w:val="24"/>
                <w:lang w:eastAsia="ru-RU"/>
              </w:rPr>
            </w:pPr>
          </w:p>
        </w:tc>
      </w:tr>
    </w:tbl>
    <w:p w:rsidR="0049565F" w:rsidRDefault="0049565F" w:rsidP="00E961F8">
      <w:pPr>
        <w:ind w:left="-426" w:right="-1" w:firstLine="568"/>
        <w:jc w:val="center"/>
        <w:rPr>
          <w:rFonts w:ascii="Times New Roman" w:hAnsi="Times New Roman" w:cs="Times New Roman"/>
          <w:b/>
          <w:sz w:val="28"/>
          <w:szCs w:val="28"/>
        </w:rPr>
        <w:sectPr w:rsidR="0049565F"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0820E3"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82" w:rsidRDefault="008D1F82">
      <w:pPr>
        <w:spacing w:after="0" w:line="240" w:lineRule="auto"/>
      </w:pPr>
      <w:r>
        <w:separator/>
      </w:r>
    </w:p>
  </w:endnote>
  <w:endnote w:type="continuationSeparator" w:id="0">
    <w:p w:rsidR="008D1F82" w:rsidRDefault="008D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2001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2001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72001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2001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72001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9565F">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82" w:rsidRDefault="008D1F82">
      <w:pPr>
        <w:spacing w:after="0" w:line="240" w:lineRule="auto"/>
      </w:pPr>
      <w:r>
        <w:separator/>
      </w:r>
    </w:p>
  </w:footnote>
  <w:footnote w:type="continuationSeparator" w:id="0">
    <w:p w:rsidR="008D1F82" w:rsidRDefault="008D1F8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565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20018"/>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1F82"/>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4456-3B2A-48AE-93A5-606AD3B5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2020-05-15T13:55:00Z</dcterms:created>
  <dcterms:modified xsi:type="dcterms:W3CDTF">2020-05-15T13:55:00Z</dcterms:modified>
</cp:coreProperties>
</file>