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21.1-03/1091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B340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дверных блоков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хозяйственный склад</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(шестидесяти)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установлены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8324F" w:rsidRPr="000437D6" w:rsidRDefault="0048324F" w:rsidP="0048324F">
      <w:pPr>
        <w:pStyle w:val="a7"/>
        <w:widowControl w:val="0"/>
        <w:spacing w:after="0"/>
        <w:ind w:left="644"/>
        <w:jc w:val="center"/>
        <w:rPr>
          <w:rFonts w:ascii="Times New Roman" w:eastAsia="Courier New" w:hAnsi="Times New Roman" w:cs="Times New Roman"/>
          <w:b/>
        </w:rPr>
      </w:pPr>
    </w:p>
    <w:tbl>
      <w:tblPr>
        <w:tblW w:w="50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1940"/>
        <w:gridCol w:w="4743"/>
        <w:gridCol w:w="843"/>
        <w:gridCol w:w="994"/>
        <w:gridCol w:w="1557"/>
        <w:gridCol w:w="1844"/>
        <w:gridCol w:w="1274"/>
        <w:gridCol w:w="846"/>
        <w:gridCol w:w="1477"/>
      </w:tblGrid>
      <w:tr w:rsidR="0048324F" w:rsidRPr="00120129" w:rsidTr="00C63E9A">
        <w:trPr>
          <w:trHeight w:val="960"/>
        </w:trPr>
        <w:tc>
          <w:tcPr>
            <w:tcW w:w="177"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п/н</w:t>
            </w:r>
          </w:p>
        </w:tc>
        <w:tc>
          <w:tcPr>
            <w:tcW w:w="603"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Наименование Товара</w:t>
            </w:r>
          </w:p>
        </w:tc>
        <w:tc>
          <w:tcPr>
            <w:tcW w:w="1474"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Технические характеристики</w:t>
            </w:r>
          </w:p>
        </w:tc>
        <w:tc>
          <w:tcPr>
            <w:tcW w:w="262"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Ед. изм.</w:t>
            </w:r>
          </w:p>
        </w:tc>
        <w:tc>
          <w:tcPr>
            <w:tcW w:w="309"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Кол-во</w:t>
            </w:r>
          </w:p>
        </w:tc>
        <w:tc>
          <w:tcPr>
            <w:tcW w:w="484"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Код по ОКПД2</w:t>
            </w:r>
          </w:p>
        </w:tc>
        <w:tc>
          <w:tcPr>
            <w:tcW w:w="573" w:type="pct"/>
            <w:shd w:val="clear" w:color="auto" w:fill="FFFF99"/>
          </w:tcPr>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Страна происхождения</w:t>
            </w:r>
          </w:p>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Товара</w:t>
            </w:r>
          </w:p>
        </w:tc>
        <w:tc>
          <w:tcPr>
            <w:tcW w:w="396" w:type="pct"/>
            <w:shd w:val="clear" w:color="auto" w:fill="FFFF99"/>
          </w:tcPr>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Цена за</w:t>
            </w:r>
          </w:p>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ед. с НДС (руб)</w:t>
            </w:r>
          </w:p>
        </w:tc>
        <w:tc>
          <w:tcPr>
            <w:tcW w:w="263" w:type="pct"/>
            <w:shd w:val="clear" w:color="auto" w:fill="FFFF99"/>
          </w:tcPr>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НДС</w:t>
            </w:r>
          </w:p>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w:t>
            </w:r>
          </w:p>
        </w:tc>
        <w:tc>
          <w:tcPr>
            <w:tcW w:w="459" w:type="pct"/>
            <w:shd w:val="clear" w:color="auto" w:fill="FFFF99"/>
          </w:tcPr>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 xml:space="preserve">Сумма с НДС </w:t>
            </w:r>
          </w:p>
          <w:p w:rsidR="0048324F" w:rsidRPr="00120129" w:rsidRDefault="0048324F" w:rsidP="00C63E9A">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(руб)</w:t>
            </w:r>
          </w:p>
        </w:tc>
      </w:tr>
      <w:tr w:rsidR="0048324F" w:rsidRPr="00120129" w:rsidTr="00C63E9A">
        <w:trPr>
          <w:trHeight w:val="278"/>
        </w:trPr>
        <w:tc>
          <w:tcPr>
            <w:tcW w:w="177"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20129">
              <w:rPr>
                <w:rFonts w:ascii="Times New Roman" w:eastAsia="Times New Roman" w:hAnsi="Times New Roman" w:cs="Times New Roman"/>
                <w:lang w:eastAsia="ru-RU"/>
              </w:rPr>
              <w:t>1.</w:t>
            </w:r>
          </w:p>
        </w:tc>
        <w:tc>
          <w:tcPr>
            <w:tcW w:w="603" w:type="pct"/>
          </w:tcPr>
          <w:p w:rsidR="0048324F" w:rsidRPr="00120129" w:rsidRDefault="0048324F" w:rsidP="00C63E9A">
            <w:pPr>
              <w:spacing w:after="0" w:line="240" w:lineRule="auto"/>
              <w:rPr>
                <w:rFonts w:ascii="Times New Roman" w:hAnsi="Times New Roman" w:cs="Times New Roman"/>
              </w:rPr>
            </w:pPr>
            <w:r>
              <w:rPr>
                <w:rFonts w:ascii="Times New Roman" w:hAnsi="Times New Roman" w:cs="Times New Roman"/>
              </w:rPr>
              <w:t>Дверной блок (двупольный)</w:t>
            </w:r>
          </w:p>
        </w:tc>
        <w:tc>
          <w:tcPr>
            <w:tcW w:w="1474" w:type="pct"/>
          </w:tcPr>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Каркас:</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МДФ-Фанера</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Наполнение:</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Сотовый картон, звукоизоляционный лист</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Облицовка:</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Шпон, Орех Американский. Покрытие лак.</w:t>
            </w:r>
          </w:p>
          <w:p w:rsidR="0048324F" w:rsidRPr="00E2621B" w:rsidRDefault="0048324F" w:rsidP="00C63E9A">
            <w:pPr>
              <w:spacing w:after="0" w:line="240" w:lineRule="auto"/>
              <w:jc w:val="both"/>
              <w:rPr>
                <w:rFonts w:ascii="Times New Roman" w:hAnsi="Times New Roman" w:cs="Times New Roman"/>
              </w:rPr>
            </w:pPr>
            <w:r w:rsidRPr="00E2621B">
              <w:rPr>
                <w:rFonts w:ascii="Times New Roman" w:hAnsi="Times New Roman" w:cs="Times New Roman"/>
              </w:rPr>
              <w:t>Фурнитура:</w:t>
            </w:r>
            <w:r>
              <w:rPr>
                <w:rFonts w:ascii="Times New Roman" w:hAnsi="Times New Roman" w:cs="Times New Roman"/>
              </w:rPr>
              <w:t xml:space="preserve"> </w:t>
            </w:r>
            <w:r w:rsidRPr="00E2621B">
              <w:rPr>
                <w:rFonts w:ascii="Times New Roman" w:hAnsi="Times New Roman" w:cs="Times New Roman"/>
              </w:rPr>
              <w:t>Петли - AGB (Италия), скрытые установки, усиленные под тяжелые двери</w:t>
            </w:r>
          </w:p>
          <w:p w:rsidR="0048324F" w:rsidRDefault="0048324F" w:rsidP="00C63E9A">
            <w:pPr>
              <w:spacing w:after="0" w:line="240" w:lineRule="auto"/>
              <w:rPr>
                <w:rFonts w:ascii="Times New Roman" w:hAnsi="Times New Roman" w:cs="Times New Roman"/>
              </w:rPr>
            </w:pPr>
            <w:r w:rsidRPr="00E2621B">
              <w:rPr>
                <w:rFonts w:ascii="Times New Roman" w:hAnsi="Times New Roman" w:cs="Times New Roman"/>
              </w:rPr>
              <w:t>Замки, ручки - AGB (Италия)</w:t>
            </w:r>
          </w:p>
          <w:p w:rsidR="0048324F" w:rsidRPr="00120129" w:rsidRDefault="0048324F" w:rsidP="00C63E9A">
            <w:pPr>
              <w:spacing w:after="0" w:line="240" w:lineRule="auto"/>
              <w:rPr>
                <w:rFonts w:ascii="Times New Roman" w:hAnsi="Times New Roman" w:cs="Times New Roman"/>
              </w:rPr>
            </w:pPr>
            <w:r>
              <w:rPr>
                <w:rFonts w:ascii="Times New Roman" w:hAnsi="Times New Roman" w:cs="Times New Roman"/>
              </w:rPr>
              <w:t>Дверной блок состав: 4 двери, коробка, доборы.</w:t>
            </w:r>
          </w:p>
        </w:tc>
        <w:tc>
          <w:tcPr>
            <w:tcW w:w="262" w:type="pct"/>
          </w:tcPr>
          <w:p w:rsidR="0048324F" w:rsidRPr="00120129" w:rsidRDefault="0048324F" w:rsidP="00C63E9A">
            <w:pPr>
              <w:jc w:val="center"/>
              <w:rPr>
                <w:rFonts w:ascii="Times New Roman" w:hAnsi="Times New Roman" w:cs="Times New Roman"/>
              </w:rPr>
            </w:pPr>
            <w:r>
              <w:rPr>
                <w:rFonts w:ascii="Times New Roman" w:hAnsi="Times New Roman" w:cs="Times New Roman"/>
              </w:rPr>
              <w:t>шт.</w:t>
            </w:r>
          </w:p>
        </w:tc>
        <w:tc>
          <w:tcPr>
            <w:tcW w:w="309" w:type="pct"/>
          </w:tcPr>
          <w:p w:rsidR="0048324F" w:rsidRPr="00120129" w:rsidRDefault="0048324F" w:rsidP="00C63E9A">
            <w:pPr>
              <w:jc w:val="center"/>
              <w:rPr>
                <w:rFonts w:ascii="Times New Roman" w:hAnsi="Times New Roman" w:cs="Times New Roman"/>
              </w:rPr>
            </w:pPr>
            <w:r w:rsidRPr="00120129">
              <w:rPr>
                <w:rFonts w:ascii="Times New Roman" w:hAnsi="Times New Roman" w:cs="Times New Roman"/>
              </w:rPr>
              <w:t>1</w:t>
            </w:r>
          </w:p>
        </w:tc>
        <w:tc>
          <w:tcPr>
            <w:tcW w:w="484" w:type="pct"/>
          </w:tcPr>
          <w:p w:rsidR="0048324F" w:rsidRPr="00120129" w:rsidRDefault="0048324F" w:rsidP="00C63E9A">
            <w:pPr>
              <w:jc w:val="center"/>
              <w:rPr>
                <w:rFonts w:ascii="Times New Roman" w:hAnsi="Times New Roman" w:cs="Times New Roman"/>
              </w:rPr>
            </w:pPr>
            <w:r>
              <w:rPr>
                <w:rFonts w:ascii="Times New Roman" w:hAnsi="Times New Roman" w:cs="Times New Roman"/>
              </w:rPr>
              <w:t>16.23.11.130</w:t>
            </w:r>
          </w:p>
        </w:tc>
        <w:tc>
          <w:tcPr>
            <w:tcW w:w="573"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6"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8324F" w:rsidRPr="00120129" w:rsidTr="00C63E9A">
        <w:trPr>
          <w:trHeight w:val="278"/>
        </w:trPr>
        <w:tc>
          <w:tcPr>
            <w:tcW w:w="177" w:type="pct"/>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03" w:type="pct"/>
          </w:tcPr>
          <w:p w:rsidR="0048324F" w:rsidRDefault="0048324F" w:rsidP="00C63E9A">
            <w:pPr>
              <w:spacing w:after="0" w:line="240" w:lineRule="auto"/>
              <w:rPr>
                <w:rFonts w:ascii="Times New Roman" w:hAnsi="Times New Roman" w:cs="Times New Roman"/>
              </w:rPr>
            </w:pPr>
            <w:r>
              <w:rPr>
                <w:rFonts w:ascii="Times New Roman" w:hAnsi="Times New Roman" w:cs="Times New Roman"/>
              </w:rPr>
              <w:t>Дверной блок (однопольный)</w:t>
            </w:r>
          </w:p>
        </w:tc>
        <w:tc>
          <w:tcPr>
            <w:tcW w:w="1474" w:type="pct"/>
          </w:tcPr>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Каркас:</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 xml:space="preserve">МДФ-Фанера </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Наполнение:</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Сотовый картон, звукоизоляционный лист</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Облицовка:</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Шпон, Орех Американский. Покрытие лак.</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Фурнитура:</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Петли - AGB (Италия), скрытые установки, усиленные под тяжелые двери</w:t>
            </w:r>
          </w:p>
          <w:p w:rsidR="0048324F" w:rsidRPr="0069487D" w:rsidRDefault="0048324F" w:rsidP="00C63E9A">
            <w:pPr>
              <w:spacing w:after="0" w:line="240" w:lineRule="auto"/>
              <w:jc w:val="both"/>
              <w:rPr>
                <w:rFonts w:ascii="Times New Roman" w:hAnsi="Times New Roman" w:cs="Times New Roman"/>
              </w:rPr>
            </w:pPr>
            <w:r w:rsidRPr="0069487D">
              <w:rPr>
                <w:rFonts w:ascii="Times New Roman" w:hAnsi="Times New Roman" w:cs="Times New Roman"/>
              </w:rPr>
              <w:t>Замки, ручки - AGB (Италия)</w:t>
            </w:r>
          </w:p>
          <w:p w:rsidR="0048324F" w:rsidRPr="00120129" w:rsidRDefault="0048324F" w:rsidP="00C63E9A">
            <w:pPr>
              <w:spacing w:after="0" w:line="240" w:lineRule="auto"/>
              <w:jc w:val="both"/>
              <w:rPr>
                <w:rFonts w:ascii="Times New Roman" w:hAnsi="Times New Roman" w:cs="Times New Roman"/>
              </w:rPr>
            </w:pPr>
            <w:r>
              <w:rPr>
                <w:rFonts w:ascii="Times New Roman" w:hAnsi="Times New Roman" w:cs="Times New Roman"/>
              </w:rPr>
              <w:t>Дверной блок состав: 1 дверь, коробка, доборы.</w:t>
            </w:r>
          </w:p>
        </w:tc>
        <w:tc>
          <w:tcPr>
            <w:tcW w:w="262" w:type="pct"/>
          </w:tcPr>
          <w:p w:rsidR="0048324F" w:rsidRDefault="0048324F" w:rsidP="00C63E9A">
            <w:pPr>
              <w:jc w:val="center"/>
              <w:rPr>
                <w:rFonts w:ascii="Times New Roman" w:hAnsi="Times New Roman" w:cs="Times New Roman"/>
              </w:rPr>
            </w:pPr>
            <w:r>
              <w:rPr>
                <w:rFonts w:ascii="Times New Roman" w:hAnsi="Times New Roman" w:cs="Times New Roman"/>
              </w:rPr>
              <w:t>шт.</w:t>
            </w:r>
          </w:p>
        </w:tc>
        <w:tc>
          <w:tcPr>
            <w:tcW w:w="309" w:type="pct"/>
          </w:tcPr>
          <w:p w:rsidR="0048324F" w:rsidRPr="00120129" w:rsidRDefault="0048324F" w:rsidP="00C63E9A">
            <w:pPr>
              <w:jc w:val="center"/>
              <w:rPr>
                <w:rFonts w:ascii="Times New Roman" w:hAnsi="Times New Roman" w:cs="Times New Roman"/>
              </w:rPr>
            </w:pPr>
            <w:r>
              <w:rPr>
                <w:rFonts w:ascii="Times New Roman" w:hAnsi="Times New Roman" w:cs="Times New Roman"/>
              </w:rPr>
              <w:t>2</w:t>
            </w:r>
          </w:p>
        </w:tc>
        <w:tc>
          <w:tcPr>
            <w:tcW w:w="484" w:type="pct"/>
          </w:tcPr>
          <w:p w:rsidR="0048324F" w:rsidRDefault="0048324F" w:rsidP="00C63E9A">
            <w:pPr>
              <w:jc w:val="center"/>
              <w:rPr>
                <w:rFonts w:ascii="Times New Roman" w:hAnsi="Times New Roman" w:cs="Times New Roman"/>
              </w:rPr>
            </w:pPr>
            <w:r>
              <w:rPr>
                <w:rFonts w:ascii="Times New Roman" w:hAnsi="Times New Roman" w:cs="Times New Roman"/>
              </w:rPr>
              <w:t>16.23.11.130</w:t>
            </w:r>
          </w:p>
        </w:tc>
        <w:tc>
          <w:tcPr>
            <w:tcW w:w="573"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6"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63"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9" w:type="pct"/>
            <w:shd w:val="clear" w:color="auto" w:fill="FFFF99"/>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8324F" w:rsidRPr="00120129" w:rsidTr="00C63E9A">
        <w:trPr>
          <w:trHeight w:val="278"/>
        </w:trPr>
        <w:tc>
          <w:tcPr>
            <w:tcW w:w="177" w:type="pct"/>
          </w:tcPr>
          <w:p w:rsidR="0048324F"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03" w:type="pct"/>
          </w:tcPr>
          <w:p w:rsidR="0048324F" w:rsidRDefault="0048324F" w:rsidP="00C63E9A">
            <w:pPr>
              <w:spacing w:after="0" w:line="240" w:lineRule="auto"/>
              <w:rPr>
                <w:rFonts w:ascii="Times New Roman" w:hAnsi="Times New Roman" w:cs="Times New Roman"/>
              </w:rPr>
            </w:pPr>
          </w:p>
        </w:tc>
        <w:tc>
          <w:tcPr>
            <w:tcW w:w="4220" w:type="pct"/>
            <w:gridSpan w:val="8"/>
          </w:tcPr>
          <w:p w:rsidR="0048324F" w:rsidRPr="00120129" w:rsidRDefault="0048324F" w:rsidP="00C63E9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14:anchorId="003A6FED" wp14:editId="5CE486FA">
                  <wp:extent cx="7128047" cy="4279392"/>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80199" cy="4310702"/>
                          </a:xfrm>
                          <a:prstGeom prst="rect">
                            <a:avLst/>
                          </a:prstGeom>
                          <a:noFill/>
                        </pic:spPr>
                      </pic:pic>
                    </a:graphicData>
                  </a:graphic>
                </wp:inline>
              </w:drawing>
            </w:r>
          </w:p>
        </w:tc>
      </w:tr>
    </w:tbl>
    <w:p w:rsidR="0048324F" w:rsidRPr="00E65B1C" w:rsidRDefault="0048324F" w:rsidP="0048324F">
      <w:pPr>
        <w:rPr>
          <w:rFonts w:ascii="Times New Roman" w:hAnsi="Times New Roman" w:cs="Times New Roman"/>
          <w:b/>
          <w:sz w:val="28"/>
          <w:szCs w:val="28"/>
        </w:rPr>
      </w:pPr>
      <w:r w:rsidRPr="00E65B1C">
        <w:rPr>
          <w:rFonts w:ascii="Times New Roman" w:hAnsi="Times New Roman" w:cs="Times New Roman"/>
          <w:b/>
          <w:sz w:val="28"/>
          <w:szCs w:val="28"/>
        </w:rPr>
        <w:t>Условия поставки Товара:</w:t>
      </w:r>
    </w:p>
    <w:p w:rsidR="0048324F" w:rsidRPr="00E65B1C" w:rsidRDefault="0048324F" w:rsidP="0048324F">
      <w:pPr>
        <w:rPr>
          <w:rFonts w:ascii="Times New Roman" w:hAnsi="Times New Roman" w:cs="Times New Roman"/>
          <w:b/>
          <w:sz w:val="28"/>
          <w:szCs w:val="28"/>
        </w:rPr>
      </w:pPr>
      <w:r w:rsidRPr="00E65B1C">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в том числе монтаж, на территории Покупателя, 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48324F">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F82" w:rsidRDefault="00325F82">
      <w:pPr>
        <w:spacing w:after="0" w:line="240" w:lineRule="auto"/>
      </w:pPr>
      <w:r>
        <w:separator/>
      </w:r>
    </w:p>
  </w:endnote>
  <w:endnote w:type="continuationSeparator" w:id="0">
    <w:p w:rsidR="00325F82" w:rsidRDefault="0032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340A" w:rsidRDefault="00AB340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340A">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B340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340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340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340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8324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F82" w:rsidRDefault="00325F82">
      <w:pPr>
        <w:spacing w:after="0" w:line="240" w:lineRule="auto"/>
      </w:pPr>
      <w:r>
        <w:separator/>
      </w:r>
    </w:p>
  </w:footnote>
  <w:footnote w:type="continuationSeparator" w:id="0">
    <w:p w:rsidR="00325F82" w:rsidRDefault="00325F8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340A" w:rsidRDefault="00AB340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340A" w:rsidRDefault="00AB340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340A" w:rsidRDefault="00AB340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25F82"/>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24F"/>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340A"/>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83C2-AEF8-44BA-841E-05F7342F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2026-05-19T05:32:00Z</dcterms:created>
  <dcterms:modified xsi:type="dcterms:W3CDTF">2026-05-19T05:32:00Z</dcterms:modified>
</cp:coreProperties>
</file>