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3250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F66901">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332443">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332443">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332443">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332443">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332443">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332443">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332443">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332443">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преимущества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332443">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332443">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F66901">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332443">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332443">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332443">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332443">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F66901">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332443">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32443">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332443">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332443">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32443">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731" w:type="dxa"/>
        <w:tblInd w:w="113" w:type="dxa"/>
        <w:tblLook w:val="04A0" w:firstRow="1" w:lastRow="0" w:firstColumn="1" w:lastColumn="0" w:noHBand="0" w:noVBand="1"/>
      </w:tblPr>
      <w:tblGrid>
        <w:gridCol w:w="485"/>
        <w:gridCol w:w="1567"/>
        <w:gridCol w:w="1243"/>
        <w:gridCol w:w="2178"/>
        <w:gridCol w:w="1395"/>
        <w:gridCol w:w="1410"/>
        <w:gridCol w:w="1702"/>
        <w:gridCol w:w="1072"/>
        <w:gridCol w:w="1032"/>
        <w:gridCol w:w="1340"/>
        <w:gridCol w:w="749"/>
        <w:gridCol w:w="841"/>
        <w:gridCol w:w="717"/>
      </w:tblGrid>
      <w:tr w:rsidR="00F66901" w:rsidRPr="00F66901" w:rsidTr="00981332">
        <w:trPr>
          <w:trHeight w:val="300"/>
        </w:trPr>
        <w:tc>
          <w:tcPr>
            <w:tcW w:w="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 пп</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Наименование товара, работы, услуги</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Код позиции</w:t>
            </w:r>
          </w:p>
        </w:tc>
        <w:tc>
          <w:tcPr>
            <w:tcW w:w="6685" w:type="dxa"/>
            <w:gridSpan w:val="4"/>
            <w:tcBorders>
              <w:top w:val="single" w:sz="4" w:space="0" w:color="auto"/>
              <w:left w:val="nil"/>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Характеристики товара, работы, услуги</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1332"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Количество</w:t>
            </w:r>
          </w:p>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(объем работы, услуги)</w:t>
            </w:r>
          </w:p>
        </w:tc>
        <w:tc>
          <w:tcPr>
            <w:tcW w:w="10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Единица измерения</w:t>
            </w:r>
          </w:p>
        </w:tc>
        <w:tc>
          <w:tcPr>
            <w:tcW w:w="1340" w:type="dxa"/>
            <w:vMerge w:val="restart"/>
            <w:tcBorders>
              <w:top w:val="single" w:sz="4" w:space="0" w:color="auto"/>
              <w:left w:val="single" w:sz="4" w:space="0" w:color="auto"/>
              <w:right w:val="single" w:sz="4" w:space="0" w:color="auto"/>
            </w:tcBorders>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Страна происхождения товара</w:t>
            </w:r>
          </w:p>
        </w:tc>
        <w:tc>
          <w:tcPr>
            <w:tcW w:w="749" w:type="dxa"/>
            <w:vMerge w:val="restart"/>
            <w:tcBorders>
              <w:top w:val="single" w:sz="4" w:space="0" w:color="auto"/>
              <w:left w:val="single" w:sz="4" w:space="0" w:color="auto"/>
              <w:right w:val="single" w:sz="4" w:space="0" w:color="auto"/>
            </w:tcBorders>
          </w:tcPr>
          <w:p w:rsidR="00981332" w:rsidRDefault="00981332" w:rsidP="00F66901">
            <w:pPr>
              <w:spacing w:after="0" w:line="240" w:lineRule="auto"/>
              <w:jc w:val="center"/>
              <w:rPr>
                <w:rFonts w:ascii="Times New Roman" w:eastAsia="Times New Roman" w:hAnsi="Times New Roman" w:cs="Times New Roman"/>
                <w:b/>
                <w:color w:val="000000"/>
                <w:sz w:val="16"/>
                <w:szCs w:val="16"/>
                <w:lang w:eastAsia="ru-RU"/>
              </w:rPr>
            </w:pPr>
          </w:p>
          <w:p w:rsidR="00981332" w:rsidRDefault="00981332" w:rsidP="00F66901">
            <w:pPr>
              <w:spacing w:after="0" w:line="240" w:lineRule="auto"/>
              <w:jc w:val="center"/>
              <w:rPr>
                <w:rFonts w:ascii="Times New Roman" w:eastAsia="Times New Roman" w:hAnsi="Times New Roman" w:cs="Times New Roman"/>
                <w:b/>
                <w:color w:val="000000"/>
                <w:sz w:val="16"/>
                <w:szCs w:val="16"/>
                <w:lang w:eastAsia="ru-RU"/>
              </w:rPr>
            </w:pPr>
          </w:p>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Ставка НДС%</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Цена за единицу без НДС</w:t>
            </w:r>
          </w:p>
        </w:tc>
        <w:tc>
          <w:tcPr>
            <w:tcW w:w="7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Сумма без НДС</w:t>
            </w:r>
          </w:p>
        </w:tc>
      </w:tr>
      <w:tr w:rsidR="00981332" w:rsidRPr="00F66901" w:rsidTr="00332443">
        <w:trPr>
          <w:trHeight w:val="1020"/>
        </w:trPr>
        <w:tc>
          <w:tcPr>
            <w:tcW w:w="485" w:type="dxa"/>
            <w:vMerge/>
            <w:tcBorders>
              <w:top w:val="single" w:sz="4" w:space="0" w:color="auto"/>
              <w:left w:val="single" w:sz="4" w:space="0" w:color="auto"/>
              <w:bottom w:val="single" w:sz="4" w:space="0" w:color="auto"/>
              <w:right w:val="single" w:sz="4" w:space="0" w:color="auto"/>
            </w:tcBorders>
            <w:vAlign w:val="center"/>
            <w:hideMark/>
          </w:tcPr>
          <w:p w:rsidR="00F66901" w:rsidRPr="00F66901" w:rsidRDefault="00F66901" w:rsidP="00F66901">
            <w:pPr>
              <w:spacing w:after="0" w:line="240" w:lineRule="auto"/>
              <w:rPr>
                <w:rFonts w:ascii="Times New Roman" w:eastAsia="Times New Roman" w:hAnsi="Times New Roman" w:cs="Times New Roman"/>
                <w:b/>
                <w:color w:val="000000"/>
                <w:sz w:val="16"/>
                <w:szCs w:val="16"/>
                <w:lang w:eastAsia="ru-RU"/>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rsidR="00F66901" w:rsidRPr="00F66901" w:rsidRDefault="00F66901" w:rsidP="00F66901">
            <w:pPr>
              <w:spacing w:after="0" w:line="240" w:lineRule="auto"/>
              <w:rPr>
                <w:rFonts w:ascii="Times New Roman" w:eastAsia="Times New Roman" w:hAnsi="Times New Roman" w:cs="Times New Roman"/>
                <w:b/>
                <w:color w:val="000000"/>
                <w:sz w:val="16"/>
                <w:szCs w:val="16"/>
                <w:lang w:eastAsia="ru-RU"/>
              </w:rPr>
            </w:pPr>
          </w:p>
        </w:tc>
        <w:tc>
          <w:tcPr>
            <w:tcW w:w="1243" w:type="dxa"/>
            <w:vMerge/>
            <w:tcBorders>
              <w:top w:val="single" w:sz="4" w:space="0" w:color="auto"/>
              <w:left w:val="single" w:sz="4" w:space="0" w:color="auto"/>
              <w:bottom w:val="single" w:sz="4" w:space="0" w:color="auto"/>
              <w:right w:val="single" w:sz="4" w:space="0" w:color="auto"/>
            </w:tcBorders>
            <w:vAlign w:val="center"/>
            <w:hideMark/>
          </w:tcPr>
          <w:p w:rsidR="00F66901" w:rsidRPr="00F66901" w:rsidRDefault="00F66901" w:rsidP="00F66901">
            <w:pPr>
              <w:spacing w:after="0" w:line="240" w:lineRule="auto"/>
              <w:rPr>
                <w:rFonts w:ascii="Times New Roman" w:eastAsia="Times New Roman" w:hAnsi="Times New Roman" w:cs="Times New Roman"/>
                <w:b/>
                <w:color w:val="000000"/>
                <w:sz w:val="16"/>
                <w:szCs w:val="16"/>
                <w:lang w:eastAsia="ru-RU"/>
              </w:rPr>
            </w:pPr>
          </w:p>
        </w:tc>
        <w:tc>
          <w:tcPr>
            <w:tcW w:w="2178" w:type="dxa"/>
            <w:tcBorders>
              <w:top w:val="nil"/>
              <w:left w:val="nil"/>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Наименование характеристики</w:t>
            </w:r>
          </w:p>
        </w:tc>
        <w:tc>
          <w:tcPr>
            <w:tcW w:w="1395" w:type="dxa"/>
            <w:tcBorders>
              <w:top w:val="nil"/>
              <w:left w:val="nil"/>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Значение характеристики</w:t>
            </w:r>
          </w:p>
        </w:tc>
        <w:tc>
          <w:tcPr>
            <w:tcW w:w="1410" w:type="dxa"/>
            <w:tcBorders>
              <w:top w:val="nil"/>
              <w:left w:val="nil"/>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Единица измерения характеристики</w:t>
            </w:r>
          </w:p>
        </w:tc>
        <w:tc>
          <w:tcPr>
            <w:tcW w:w="1702" w:type="dxa"/>
            <w:tcBorders>
              <w:top w:val="nil"/>
              <w:left w:val="nil"/>
              <w:bottom w:val="single" w:sz="4" w:space="0" w:color="auto"/>
              <w:right w:val="single" w:sz="4" w:space="0" w:color="auto"/>
            </w:tcBorders>
            <w:shd w:val="clear" w:color="auto" w:fill="auto"/>
            <w:vAlign w:val="center"/>
            <w:hideMark/>
          </w:tcPr>
          <w:p w:rsidR="00F66901" w:rsidRPr="00F66901" w:rsidRDefault="00F66901" w:rsidP="00F66901">
            <w:pPr>
              <w:spacing w:after="0" w:line="240" w:lineRule="auto"/>
              <w:jc w:val="center"/>
              <w:rPr>
                <w:rFonts w:ascii="Times New Roman" w:eastAsia="Times New Roman" w:hAnsi="Times New Roman" w:cs="Times New Roman"/>
                <w:b/>
                <w:color w:val="000000"/>
                <w:sz w:val="16"/>
                <w:szCs w:val="16"/>
                <w:lang w:eastAsia="ru-RU"/>
              </w:rPr>
            </w:pPr>
            <w:r w:rsidRPr="00F66901">
              <w:rPr>
                <w:rFonts w:ascii="Times New Roman" w:eastAsia="Times New Roman" w:hAnsi="Times New Roman" w:cs="Times New Roman"/>
                <w:b/>
                <w:color w:val="000000"/>
                <w:sz w:val="16"/>
                <w:szCs w:val="16"/>
                <w:lang w:eastAsia="ru-RU"/>
              </w:rPr>
              <w:t>Инструкция по заполнению характеристик в заявке</w:t>
            </w:r>
          </w:p>
        </w:tc>
        <w:tc>
          <w:tcPr>
            <w:tcW w:w="1072" w:type="dxa"/>
            <w:vMerge/>
            <w:tcBorders>
              <w:top w:val="single" w:sz="4" w:space="0" w:color="auto"/>
              <w:left w:val="single" w:sz="4" w:space="0" w:color="auto"/>
              <w:bottom w:val="single" w:sz="4" w:space="0" w:color="auto"/>
              <w:right w:val="single" w:sz="4" w:space="0" w:color="auto"/>
            </w:tcBorders>
            <w:vAlign w:val="center"/>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1340" w:type="dxa"/>
            <w:vMerge/>
            <w:tcBorders>
              <w:left w:val="single" w:sz="4" w:space="0" w:color="auto"/>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vMerge/>
            <w:tcBorders>
              <w:left w:val="single" w:sz="4" w:space="0" w:color="auto"/>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r>
      <w:tr w:rsidR="00981332" w:rsidRPr="00F66901" w:rsidTr="00332443">
        <w:trPr>
          <w:trHeight w:val="129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1</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Набор для дренирования закрытой раны</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32.50.50.190-00000232</w:t>
            </w:r>
            <w:r w:rsidR="00981332">
              <w:rPr>
                <w:rFonts w:ascii="Times New Roman" w:eastAsia="Times New Roman" w:hAnsi="Times New Roman" w:cs="Times New Roman"/>
                <w:color w:val="000000"/>
                <w:sz w:val="16"/>
                <w:szCs w:val="16"/>
                <w:lang w:eastAsia="ru-RU"/>
              </w:rPr>
              <w:t>*</w:t>
            </w:r>
          </w:p>
        </w:tc>
        <w:tc>
          <w:tcPr>
            <w:tcW w:w="2178" w:type="dxa"/>
            <w:tcBorders>
              <w:top w:val="nil"/>
              <w:left w:val="nil"/>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Стерильное изделие предназначено для аспирации жидкости из плевральной полости путем аспирации.</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360</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штука</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В составе емкость объемом</w:t>
            </w: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2,25</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Литр</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Высота емкости</w:t>
            </w: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25</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Сантиметр</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Большая площадь нижней поверхности емкости для устойчивого положения на полу</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Пластиковый небьющийся корпус емкости. </w:t>
            </w: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Прозрачная передняя стенка емкости со шкалой объема с шагом разметки</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25</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 миллилитр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Прозрачная передняя стенка емкости со шкалой объема с цифровым обозначением с шагом</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100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 миллилитр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255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Возможность создания камеры «подводного замка» для пассивного дренирования с помощью регулируемой по длине трубки; дистальный конец удлинительной трубки прилегает вплотную к передней панели для четкого визуального определения поступления воздуха по дренажу.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Порт для заполнения системы для создания «подводного замка». Порт для подключения к источнику вакуума.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Удлинительная линия с универсальным коннектором для соединения с плевральным дренажом.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30"/>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 специального коннектора - диаметр 12 мм, высота 17 мм - на верхней поверхности для фиксации портативного вакуумного устройства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20"/>
        </w:trPr>
        <w:tc>
          <w:tcPr>
            <w:tcW w:w="485"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Универсальная ручка для переноски и фиксации к кровати пациента.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290"/>
        </w:trPr>
        <w:tc>
          <w:tcPr>
            <w:tcW w:w="485" w:type="dxa"/>
            <w:tcBorders>
              <w:top w:val="single" w:sz="4" w:space="0" w:color="auto"/>
              <w:left w:val="single" w:sz="4" w:space="0" w:color="auto"/>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2</w:t>
            </w:r>
          </w:p>
        </w:tc>
        <w:tc>
          <w:tcPr>
            <w:tcW w:w="1567"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Набор для дренирования закрытой раны</w:t>
            </w:r>
          </w:p>
        </w:tc>
        <w:tc>
          <w:tcPr>
            <w:tcW w:w="1243"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32.50.50.190-00000232</w:t>
            </w:r>
            <w:r w:rsidR="00981332">
              <w:rPr>
                <w:rFonts w:ascii="Times New Roman" w:eastAsia="Times New Roman" w:hAnsi="Times New Roman" w:cs="Times New Roman"/>
                <w:color w:val="000000"/>
                <w:sz w:val="16"/>
                <w:szCs w:val="16"/>
                <w:lang w:eastAsia="ru-RU"/>
              </w:rPr>
              <w:t>*</w:t>
            </w:r>
          </w:p>
        </w:tc>
        <w:tc>
          <w:tcPr>
            <w:tcW w:w="2178" w:type="dxa"/>
            <w:tcBorders>
              <w:top w:val="nil"/>
              <w:left w:val="nil"/>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Закрытая дренажная система, включающая в себя вакуумную камеру и отсоединяющийся сборный мешок с возможностью замены.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Соответствие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250</w:t>
            </w:r>
          </w:p>
        </w:tc>
        <w:tc>
          <w:tcPr>
            <w:tcW w:w="1032"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штука</w:t>
            </w:r>
          </w:p>
        </w:tc>
        <w:tc>
          <w:tcPr>
            <w:tcW w:w="1340" w:type="dxa"/>
            <w:tcBorders>
              <w:top w:val="single" w:sz="4" w:space="0" w:color="auto"/>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single" w:sz="4" w:space="0" w:color="auto"/>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single" w:sz="4" w:space="0" w:color="auto"/>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Объем вакуумной камеры (Для эвакуации патологической жидкости большого объема)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290 и ≤400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 миллилитр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Объем отсоединяющегося сборного мешка (Для эвакуации патологической жидкости большого объема)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590 и ≤650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981332"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w:t>
            </w:r>
          </w:p>
          <w:p w:rsid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М</w:t>
            </w:r>
            <w:r w:rsidR="00F66901" w:rsidRPr="00F66901">
              <w:rPr>
                <w:rFonts w:ascii="Times New Roman" w:eastAsia="Times New Roman" w:hAnsi="Times New Roman" w:cs="Times New Roman"/>
                <w:color w:val="000000"/>
                <w:sz w:val="16"/>
                <w:szCs w:val="16"/>
                <w:lang w:eastAsia="ru-RU"/>
              </w:rPr>
              <w:t>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Вакуумная камера, создающая постоянный уровень низкого вакуума, с невозвратными клапанами, препятствующими ретроградному забросу раневого отделяемого.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Коннектор приводящей трубки вакуумной камеры, совместим с дренажами разного диаметра и возможностью подсоединения дополнительного дренажа через Y-образный коннектор. </w:t>
            </w: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single" w:sz="4" w:space="0" w:color="auto"/>
              <w:right w:val="single" w:sz="4" w:space="0" w:color="auto"/>
            </w:tcBorders>
            <w:shd w:val="clear" w:color="auto" w:fill="auto"/>
            <w:noWrap/>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single" w:sz="4" w:space="0" w:color="auto"/>
              <w:right w:val="single" w:sz="4" w:space="0" w:color="auto"/>
            </w:tcBorders>
            <w:shd w:val="clear" w:color="auto" w:fill="auto"/>
            <w:noWrap/>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Соединительная трубка длиной</w:t>
            </w: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1000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Миллиметр</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single" w:sz="4" w:space="0" w:color="auto"/>
              <w:right w:val="single" w:sz="4" w:space="0" w:color="auto"/>
            </w:tcBorders>
            <w:shd w:val="clear" w:color="auto" w:fill="auto"/>
            <w:noWrap/>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single" w:sz="4" w:space="0" w:color="auto"/>
              <w:right w:val="single" w:sz="4" w:space="0" w:color="auto"/>
            </w:tcBorders>
            <w:shd w:val="clear" w:color="auto" w:fill="auto"/>
            <w:noWrap/>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single" w:sz="4" w:space="0" w:color="auto"/>
              <w:right w:val="single" w:sz="4" w:space="0" w:color="auto"/>
            </w:tcBorders>
            <w:shd w:val="clear" w:color="auto" w:fill="auto"/>
            <w:noWrap/>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290"/>
        </w:trPr>
        <w:tc>
          <w:tcPr>
            <w:tcW w:w="485" w:type="dxa"/>
            <w:tcBorders>
              <w:top w:val="single" w:sz="4" w:space="0" w:color="auto"/>
              <w:left w:val="single" w:sz="4" w:space="0" w:color="auto"/>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3</w:t>
            </w:r>
          </w:p>
        </w:tc>
        <w:tc>
          <w:tcPr>
            <w:tcW w:w="1567"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Набор для дренирования закрытой раны</w:t>
            </w:r>
          </w:p>
        </w:tc>
        <w:tc>
          <w:tcPr>
            <w:tcW w:w="1243"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32.50.50.190-00000232</w:t>
            </w:r>
            <w:r w:rsidR="00981332">
              <w:rPr>
                <w:rFonts w:ascii="Times New Roman" w:eastAsia="Times New Roman" w:hAnsi="Times New Roman" w:cs="Times New Roman"/>
                <w:color w:val="000000"/>
                <w:sz w:val="16"/>
                <w:szCs w:val="16"/>
                <w:lang w:eastAsia="ru-RU"/>
              </w:rPr>
              <w:t>*</w:t>
            </w:r>
          </w:p>
        </w:tc>
        <w:tc>
          <w:tcPr>
            <w:tcW w:w="2178" w:type="dxa"/>
            <w:tcBorders>
              <w:top w:val="nil"/>
              <w:left w:val="nil"/>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Закрытая дренажная система, включающая в себя вакуумную камеру и отсоединяющийся сборный мешок с возможностью замены.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Соответствие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130</w:t>
            </w:r>
          </w:p>
        </w:tc>
        <w:tc>
          <w:tcPr>
            <w:tcW w:w="1032"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штука</w:t>
            </w:r>
          </w:p>
        </w:tc>
        <w:tc>
          <w:tcPr>
            <w:tcW w:w="1340" w:type="dxa"/>
            <w:tcBorders>
              <w:top w:val="single" w:sz="4" w:space="0" w:color="auto"/>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single" w:sz="4" w:space="0" w:color="auto"/>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single" w:sz="4" w:space="0" w:color="auto"/>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Объем вакуумной камеры (Для эвакуации патологической жидкости большого объема)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290 и ≤400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 миллилитр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Объем отсоединяющегося сборного мешка (Для эвакуации патологической жидкости большого объема)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590 и ≤650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981332"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w:t>
            </w:r>
          </w:p>
          <w:p w:rsid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М</w:t>
            </w:r>
            <w:r w:rsidR="00F66901" w:rsidRPr="00F66901">
              <w:rPr>
                <w:rFonts w:ascii="Times New Roman" w:eastAsia="Times New Roman" w:hAnsi="Times New Roman" w:cs="Times New Roman"/>
                <w:color w:val="000000"/>
                <w:sz w:val="16"/>
                <w:szCs w:val="16"/>
                <w:lang w:eastAsia="ru-RU"/>
              </w:rPr>
              <w:t>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981332"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Вакуумная камера, создающая постоянный уровень низкого вакуума, с невозвратными клапанами, препятствующими ретроградному забросу </w:t>
            </w:r>
          </w:p>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раневого отделяемого.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Система комплектуется дополнительным дренажом Ульмера СН12 со стальным, атравматично подсоединенным цельнолитым троакаром (стилетом). </w:t>
            </w: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Коннектор приводящей трубки вакуумной камеры, совместим с дренажами разного диаметра и возможностью подсоединения дополнительного дренажа через Y-образный коннектор. </w:t>
            </w: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Длина перфорированной части дренажа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100 и ≤ 110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Миллиметр</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Длина дренажа</w:t>
            </w: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700 и ≤ 800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Миллиметр</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290"/>
        </w:trPr>
        <w:tc>
          <w:tcPr>
            <w:tcW w:w="485" w:type="dxa"/>
            <w:tcBorders>
              <w:top w:val="single" w:sz="4" w:space="0" w:color="auto"/>
              <w:left w:val="single" w:sz="4" w:space="0" w:color="auto"/>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4</w:t>
            </w:r>
          </w:p>
        </w:tc>
        <w:tc>
          <w:tcPr>
            <w:tcW w:w="1567"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Набор для дренирования закрытой раны</w:t>
            </w:r>
          </w:p>
        </w:tc>
        <w:tc>
          <w:tcPr>
            <w:tcW w:w="1243"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32.50.50.190-00000232</w:t>
            </w:r>
            <w:r w:rsidR="00981332">
              <w:rPr>
                <w:rFonts w:ascii="Times New Roman" w:eastAsia="Times New Roman" w:hAnsi="Times New Roman" w:cs="Times New Roman"/>
                <w:color w:val="000000"/>
                <w:sz w:val="16"/>
                <w:szCs w:val="16"/>
                <w:lang w:eastAsia="ru-RU"/>
              </w:rPr>
              <w:t>*</w:t>
            </w:r>
          </w:p>
        </w:tc>
        <w:tc>
          <w:tcPr>
            <w:tcW w:w="2178" w:type="dxa"/>
            <w:tcBorders>
              <w:top w:val="nil"/>
              <w:left w:val="nil"/>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Закрытая дренажная система, включающая в себя вакуумную камеру и отсоединяющийся сборный мешок с возможностью замены.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Соответствие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270</w:t>
            </w:r>
          </w:p>
        </w:tc>
        <w:tc>
          <w:tcPr>
            <w:tcW w:w="1032"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штука</w:t>
            </w:r>
          </w:p>
        </w:tc>
        <w:tc>
          <w:tcPr>
            <w:tcW w:w="1340" w:type="dxa"/>
            <w:tcBorders>
              <w:top w:val="single" w:sz="4" w:space="0" w:color="auto"/>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single" w:sz="4" w:space="0" w:color="auto"/>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single" w:sz="4" w:space="0" w:color="auto"/>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single" w:sz="4" w:space="0" w:color="auto"/>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Объем вакуумной камеры (Для эвакуации патологической жидкости большого объема)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290 и ≤400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 миллилитр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981332"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Объем отсоединяющегося сборного мешка (Для эвакуации патологической </w:t>
            </w:r>
          </w:p>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жидкости большого объема)</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590 и ≤650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Кубический сантиметр; миллилитр</w:t>
            </w: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Вакуумная камера, создающая постоянный уровень низкого вакуума, с невозвратными клапанами, препятствующими ретроградному забросу раневого отделяемого.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Система комплектуется дополнительным дренажом Ульмера СН14 со стальным, атравматично подсоединенным цельнолитым троакаром (стилетом). </w:t>
            </w: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54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xml:space="preserve">Коннектор приводящей трубки вакуумной камеры, совместим с дренажами разного диаметра и возможностью подсоединения дополнительного дренажа через Y-образный коннектор. </w:t>
            </w: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Наличие</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981332"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Значение характеристики не может изменяться</w:t>
            </w:r>
          </w:p>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участником закупки</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Длина перфорированной части дренажа</w:t>
            </w: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100 и ≤ 110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Миллиметр</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nil"/>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nil"/>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r w:rsidR="00981332" w:rsidRPr="00F66901" w:rsidTr="00332443">
        <w:trPr>
          <w:trHeight w:val="1035"/>
        </w:trPr>
        <w:tc>
          <w:tcPr>
            <w:tcW w:w="485"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567"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243"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2178" w:type="dxa"/>
            <w:tcBorders>
              <w:top w:val="nil"/>
              <w:left w:val="single" w:sz="4" w:space="0" w:color="auto"/>
              <w:bottom w:val="single" w:sz="4" w:space="0" w:color="auto"/>
              <w:right w:val="single" w:sz="4" w:space="0" w:color="auto"/>
            </w:tcBorders>
            <w:shd w:val="clear" w:color="auto" w:fill="auto"/>
            <w:vAlign w:val="bottom"/>
            <w:hideMark/>
          </w:tcPr>
          <w:p w:rsid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Длина дренажа</w:t>
            </w:r>
          </w:p>
          <w:p w:rsidR="00981332" w:rsidRDefault="00981332" w:rsidP="00F66901">
            <w:pPr>
              <w:spacing w:after="0" w:line="240" w:lineRule="auto"/>
              <w:rPr>
                <w:rFonts w:ascii="Times New Roman" w:eastAsia="Times New Roman" w:hAnsi="Times New Roman" w:cs="Times New Roman"/>
                <w:color w:val="000000"/>
                <w:sz w:val="16"/>
                <w:szCs w:val="16"/>
                <w:lang w:eastAsia="ru-RU"/>
              </w:rPr>
            </w:pPr>
          </w:p>
          <w:p w:rsidR="00981332" w:rsidRPr="00F66901" w:rsidRDefault="00981332" w:rsidP="00F66901">
            <w:pPr>
              <w:spacing w:after="0" w:line="240" w:lineRule="auto"/>
              <w:rPr>
                <w:rFonts w:ascii="Times New Roman" w:eastAsia="Times New Roman" w:hAnsi="Times New Roman" w:cs="Times New Roman"/>
                <w:color w:val="000000"/>
                <w:sz w:val="16"/>
                <w:szCs w:val="16"/>
                <w:lang w:eastAsia="ru-RU"/>
              </w:rPr>
            </w:pPr>
          </w:p>
        </w:tc>
        <w:tc>
          <w:tcPr>
            <w:tcW w:w="1395"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700 и ≤ 800</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410"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Миллиметр</w:t>
            </w:r>
          </w:p>
          <w:p w:rsidR="00981332" w:rsidRDefault="00981332" w:rsidP="00981332">
            <w:pPr>
              <w:spacing w:after="0" w:line="240" w:lineRule="auto"/>
              <w:jc w:val="center"/>
              <w:rPr>
                <w:rFonts w:ascii="Times New Roman" w:eastAsia="Times New Roman" w:hAnsi="Times New Roman" w:cs="Times New Roman"/>
                <w:color w:val="000000"/>
                <w:sz w:val="16"/>
                <w:szCs w:val="16"/>
                <w:lang w:eastAsia="ru-RU"/>
              </w:rPr>
            </w:pPr>
          </w:p>
          <w:p w:rsidR="00981332" w:rsidRPr="00F66901" w:rsidRDefault="00981332" w:rsidP="00981332">
            <w:pPr>
              <w:spacing w:after="0" w:line="240" w:lineRule="auto"/>
              <w:jc w:val="center"/>
              <w:rPr>
                <w:rFonts w:ascii="Times New Roman" w:eastAsia="Times New Roman" w:hAnsi="Times New Roman" w:cs="Times New Roman"/>
                <w:color w:val="000000"/>
                <w:sz w:val="16"/>
                <w:szCs w:val="16"/>
                <w:lang w:eastAsia="ru-RU"/>
              </w:rPr>
            </w:pPr>
          </w:p>
        </w:tc>
        <w:tc>
          <w:tcPr>
            <w:tcW w:w="1702" w:type="dxa"/>
            <w:tcBorders>
              <w:top w:val="nil"/>
              <w:left w:val="nil"/>
              <w:bottom w:val="single" w:sz="4" w:space="0" w:color="auto"/>
              <w:right w:val="single" w:sz="4" w:space="0" w:color="auto"/>
            </w:tcBorders>
            <w:shd w:val="clear" w:color="auto" w:fill="auto"/>
            <w:vAlign w:val="bottom"/>
            <w:hideMark/>
          </w:tcPr>
          <w:p w:rsidR="00F66901" w:rsidRDefault="00F66901" w:rsidP="00981332">
            <w:pPr>
              <w:spacing w:after="0" w:line="240" w:lineRule="auto"/>
              <w:jc w:val="center"/>
              <w:rPr>
                <w:rFonts w:ascii="Times New Roman" w:eastAsia="Times New Roman" w:hAnsi="Times New Roman" w:cs="Times New Roman"/>
                <w:color w:val="00B0F0"/>
                <w:sz w:val="16"/>
                <w:szCs w:val="16"/>
                <w:lang w:eastAsia="ru-RU"/>
              </w:rPr>
            </w:pPr>
            <w:r w:rsidRPr="00F66901">
              <w:rPr>
                <w:rFonts w:ascii="Times New Roman" w:eastAsia="Times New Roman" w:hAnsi="Times New Roman" w:cs="Times New Roman"/>
                <w:color w:val="00B0F0"/>
                <w:sz w:val="16"/>
                <w:szCs w:val="16"/>
                <w:lang w:eastAsia="ru-RU"/>
              </w:rPr>
              <w:t>Участник закупки указывает в заявке конкретное значение характеристики</w:t>
            </w:r>
          </w:p>
          <w:p w:rsidR="00981332" w:rsidRPr="00F66901" w:rsidRDefault="00981332" w:rsidP="00981332">
            <w:pPr>
              <w:spacing w:after="0" w:line="240" w:lineRule="auto"/>
              <w:jc w:val="center"/>
              <w:rPr>
                <w:rFonts w:ascii="Times New Roman" w:eastAsia="Times New Roman" w:hAnsi="Times New Roman" w:cs="Times New Roman"/>
                <w:color w:val="00B0F0"/>
                <w:sz w:val="16"/>
                <w:szCs w:val="16"/>
                <w:lang w:eastAsia="ru-RU"/>
              </w:rPr>
            </w:pPr>
          </w:p>
        </w:tc>
        <w:tc>
          <w:tcPr>
            <w:tcW w:w="1072"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032"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1340" w:type="dxa"/>
            <w:tcBorders>
              <w:top w:val="nil"/>
              <w:left w:val="nil"/>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749" w:type="dxa"/>
            <w:tcBorders>
              <w:top w:val="nil"/>
              <w:left w:val="single" w:sz="4" w:space="0" w:color="auto"/>
              <w:bottom w:val="single" w:sz="4" w:space="0" w:color="auto"/>
              <w:right w:val="single" w:sz="4" w:space="0" w:color="auto"/>
            </w:tcBorders>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p>
        </w:tc>
        <w:tc>
          <w:tcPr>
            <w:tcW w:w="841" w:type="dxa"/>
            <w:tcBorders>
              <w:top w:val="nil"/>
              <w:left w:val="single" w:sz="4" w:space="0" w:color="auto"/>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c>
          <w:tcPr>
            <w:tcW w:w="717" w:type="dxa"/>
            <w:tcBorders>
              <w:top w:val="nil"/>
              <w:left w:val="nil"/>
              <w:bottom w:val="single" w:sz="4" w:space="0" w:color="auto"/>
              <w:right w:val="single" w:sz="4" w:space="0" w:color="auto"/>
            </w:tcBorders>
            <w:shd w:val="clear" w:color="auto" w:fill="auto"/>
            <w:vAlign w:val="bottom"/>
            <w:hideMark/>
          </w:tcPr>
          <w:p w:rsidR="00F66901" w:rsidRPr="00F66901" w:rsidRDefault="00F66901" w:rsidP="00F66901">
            <w:pPr>
              <w:spacing w:after="0" w:line="240" w:lineRule="auto"/>
              <w:rPr>
                <w:rFonts w:ascii="Times New Roman" w:eastAsia="Times New Roman" w:hAnsi="Times New Roman" w:cs="Times New Roman"/>
                <w:color w:val="000000"/>
                <w:sz w:val="16"/>
                <w:szCs w:val="16"/>
                <w:lang w:eastAsia="ru-RU"/>
              </w:rPr>
            </w:pPr>
            <w:r w:rsidRPr="00F66901">
              <w:rPr>
                <w:rFonts w:ascii="Times New Roman" w:eastAsia="Times New Roman" w:hAnsi="Times New Roman" w:cs="Times New Roman"/>
                <w:color w:val="000000"/>
                <w:sz w:val="16"/>
                <w:szCs w:val="16"/>
                <w:lang w:eastAsia="ru-RU"/>
              </w:rPr>
              <w:t> </w:t>
            </w:r>
          </w:p>
        </w:tc>
      </w:tr>
    </w:tbl>
    <w:p w:rsidR="00332443" w:rsidRDefault="00332443" w:rsidP="00332443">
      <w:pPr>
        <w:rPr>
          <w:rFonts w:ascii="Times New Roman" w:hAnsi="Times New Roman" w:cs="Times New Roman"/>
          <w:b/>
          <w:bCs/>
          <w:i/>
        </w:rPr>
      </w:pPr>
    </w:p>
    <w:p w:rsidR="00332443" w:rsidRDefault="00332443" w:rsidP="00332443">
      <w:pPr>
        <w:rPr>
          <w:rFonts w:ascii="Times New Roman" w:hAnsi="Times New Roman" w:cs="Times New Roman"/>
          <w:b/>
          <w:bCs/>
          <w:i/>
        </w:rPr>
      </w:pPr>
      <w:r>
        <w:rPr>
          <w:rFonts w:ascii="Times New Roman" w:hAnsi="Times New Roman" w:cs="Times New Roman"/>
          <w:b/>
          <w:bCs/>
          <w:i/>
        </w:rPr>
        <w:t>*</w:t>
      </w:r>
      <w:r w:rsidRPr="008B33D5">
        <w:rPr>
          <w:rFonts w:ascii="Times New Roman" w:hAnsi="Times New Roman" w:cs="Times New Roman"/>
          <w:b/>
          <w:bCs/>
          <w:i/>
        </w:rPr>
        <w:t xml:space="preserve"> 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p>
    <w:p w:rsidR="00332443" w:rsidRDefault="00332443" w:rsidP="00332443">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F66901">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10E" w:rsidRDefault="00B8410E">
      <w:pPr>
        <w:spacing w:after="0" w:line="240" w:lineRule="auto"/>
      </w:pPr>
      <w:r>
        <w:separator/>
      </w:r>
    </w:p>
  </w:endnote>
  <w:endnote w:type="continuationSeparator" w:id="0">
    <w:p w:rsidR="00B8410E" w:rsidRDefault="00B8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250F" w:rsidRDefault="00E3250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2443" w:rsidRDefault="00E3250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332443" w:rsidRDefault="00332443">
        <w:pPr>
          <w:pStyle w:val="ab"/>
          <w:jc w:val="right"/>
        </w:pPr>
        <w:r>
          <w:fldChar w:fldCharType="begin"/>
        </w:r>
        <w:r>
          <w:instrText>PAGE   \* MERGEFORMAT</w:instrText>
        </w:r>
        <w:r>
          <w:fldChar w:fldCharType="separate"/>
        </w:r>
        <w:r w:rsidR="00E3250F">
          <w:rPr>
            <w:noProof/>
          </w:rPr>
          <w:t>1</w:t>
        </w:r>
        <w:r>
          <w:fldChar w:fldCharType="end"/>
        </w:r>
      </w:p>
    </w:sdtContent>
  </w:sdt>
  <w:p w:rsidR="00332443" w:rsidRDefault="00332443">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2443" w:rsidRDefault="00E3250F">
    <w:pPr>
      <w:pStyle w:val="ab"/>
      <w:jc w:val="right"/>
    </w:pPr>
    <w:sdt>
      <w:sdtPr>
        <w:id w:val="-915003870"/>
        <w:docPartObj>
          <w:docPartGallery w:val="Page Numbers (Bottom of Page)"/>
          <w:docPartUnique/>
        </w:docPartObj>
      </w:sdtPr>
      <w:sdtEndPr/>
      <w:sdtContent>
        <w:r w:rsidR="00332443">
          <w:fldChar w:fldCharType="begin"/>
        </w:r>
        <w:r w:rsidR="00332443">
          <w:instrText>PAGE   \* MERGEFORMAT</w:instrText>
        </w:r>
        <w:r w:rsidR="00332443">
          <w:fldChar w:fldCharType="separate"/>
        </w:r>
        <w:r w:rsidR="00332443">
          <w:rPr>
            <w:noProof/>
          </w:rPr>
          <w:t>2</w:t>
        </w:r>
        <w:r w:rsidR="00332443">
          <w:fldChar w:fldCharType="end"/>
        </w:r>
      </w:sdtContent>
    </w:sdt>
  </w:p>
  <w:p w:rsidR="00332443" w:rsidRDefault="00332443"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2443" w:rsidRDefault="00E3250F">
    <w:pPr>
      <w:pStyle w:val="ab"/>
      <w:jc w:val="right"/>
    </w:pPr>
    <w:sdt>
      <w:sdtPr>
        <w:id w:val="707909240"/>
        <w:docPartObj>
          <w:docPartGallery w:val="Page Numbers (Bottom of Page)"/>
          <w:docPartUnique/>
        </w:docPartObj>
      </w:sdtPr>
      <w:sdtEndPr/>
      <w:sdtContent>
        <w:r w:rsidR="00332443">
          <w:fldChar w:fldCharType="begin"/>
        </w:r>
        <w:r w:rsidR="00332443">
          <w:instrText>PAGE   \* MERGEFORMAT</w:instrText>
        </w:r>
        <w:r w:rsidR="00332443">
          <w:fldChar w:fldCharType="separate"/>
        </w:r>
        <w:r>
          <w:rPr>
            <w:noProof/>
          </w:rPr>
          <w:t>2</w:t>
        </w:r>
        <w:r w:rsidR="00332443">
          <w:fldChar w:fldCharType="end"/>
        </w:r>
      </w:sdtContent>
    </w:sdt>
  </w:p>
  <w:p w:rsidR="00332443" w:rsidRDefault="00332443"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2443" w:rsidRDefault="00E3250F">
    <w:pPr>
      <w:pStyle w:val="ab"/>
      <w:jc w:val="right"/>
    </w:pPr>
    <w:sdt>
      <w:sdtPr>
        <w:id w:val="-800836465"/>
        <w:docPartObj>
          <w:docPartGallery w:val="Page Numbers (Bottom of Page)"/>
          <w:docPartUnique/>
        </w:docPartObj>
      </w:sdtPr>
      <w:sdtEndPr/>
      <w:sdtContent>
        <w:r w:rsidR="00332443">
          <w:fldChar w:fldCharType="begin"/>
        </w:r>
        <w:r w:rsidR="00332443">
          <w:instrText>PAGE   \* MERGEFORMAT</w:instrText>
        </w:r>
        <w:r w:rsidR="00332443">
          <w:fldChar w:fldCharType="separate"/>
        </w:r>
        <w:r w:rsidR="008B219A">
          <w:rPr>
            <w:noProof/>
          </w:rPr>
          <w:t>4</w:t>
        </w:r>
        <w:r w:rsidR="00332443">
          <w:fldChar w:fldCharType="end"/>
        </w:r>
      </w:sdtContent>
    </w:sdt>
  </w:p>
  <w:p w:rsidR="00332443" w:rsidRDefault="00332443"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10E" w:rsidRDefault="00B8410E">
      <w:pPr>
        <w:spacing w:after="0" w:line="240" w:lineRule="auto"/>
      </w:pPr>
      <w:r>
        <w:separator/>
      </w:r>
    </w:p>
  </w:footnote>
  <w:footnote w:type="continuationSeparator" w:id="0">
    <w:p w:rsidR="00B8410E" w:rsidRDefault="00B8410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250F" w:rsidRDefault="00E3250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250F" w:rsidRDefault="00E3250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250F" w:rsidRDefault="00E3250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2443" w:rsidRPr="006B0C1A" w:rsidRDefault="00332443"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2443" w:rsidRPr="006B0C1A" w:rsidRDefault="00332443"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32443"/>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3F7E5B"/>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07B5"/>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219A"/>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1332"/>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410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250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66901"/>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73049">
      <w:bodyDiv w:val="1"/>
      <w:marLeft w:val="0"/>
      <w:marRight w:val="0"/>
      <w:marTop w:val="0"/>
      <w:marBottom w:val="0"/>
      <w:divBdr>
        <w:top w:val="none" w:sz="0" w:space="0" w:color="auto"/>
        <w:left w:val="none" w:sz="0" w:space="0" w:color="auto"/>
        <w:bottom w:val="none" w:sz="0" w:space="0" w:color="auto"/>
        <w:right w:val="none" w:sz="0" w:space="0" w:color="auto"/>
      </w:divBdr>
    </w:div>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38731106">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8074E-65BD-4897-A275-3A82860E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2035</Words>
  <Characters>11601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2026-11-02T11:55:00Z</dcterms:created>
  <dcterms:modified xsi:type="dcterms:W3CDTF">2026-11-02T11:55:00Z</dcterms:modified>
</cp:coreProperties>
</file>