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23.04.2024 № 05-07/727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000EB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костного цемента</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30.09.2024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письменной заявки от Покупателя. Последняя дата подачи заявки на поставку 20.09.2024. Максимальное количество партий - 3 (три).</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регистрационное удостоверение</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lastRenderedPageBreak/>
              <w:t>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F84ED4" w:rsidRDefault="00F84ED4" w:rsidP="00F84ED4">
      <w:pPr>
        <w:pStyle w:val="a7"/>
        <w:widowControl w:val="0"/>
        <w:spacing w:after="0"/>
        <w:ind w:left="644"/>
        <w:jc w:val="center"/>
        <w:rPr>
          <w:rFonts w:ascii="Times New Roman" w:hAnsi="Times New Roman"/>
          <w:b/>
          <w:sz w:val="24"/>
          <w:szCs w:val="26"/>
        </w:rPr>
      </w:pPr>
    </w:p>
    <w:p w:rsidR="008436C5" w:rsidRDefault="008436C5" w:rsidP="00F84ED4">
      <w:pPr>
        <w:pStyle w:val="a7"/>
        <w:widowControl w:val="0"/>
        <w:spacing w:after="0"/>
        <w:ind w:left="644"/>
        <w:jc w:val="center"/>
        <w:rPr>
          <w:rFonts w:ascii="Times New Roman" w:hAnsi="Times New Roman"/>
          <w:b/>
          <w:sz w:val="24"/>
          <w:szCs w:val="26"/>
        </w:rPr>
      </w:pPr>
    </w:p>
    <w:p w:rsidR="008436C5" w:rsidRDefault="008436C5" w:rsidP="00F84ED4">
      <w:pPr>
        <w:pStyle w:val="a7"/>
        <w:widowControl w:val="0"/>
        <w:spacing w:after="0"/>
        <w:ind w:left="644"/>
        <w:jc w:val="center"/>
        <w:rPr>
          <w:rFonts w:ascii="Times New Roman" w:hAnsi="Times New Roman"/>
          <w:b/>
          <w:sz w:val="24"/>
          <w:szCs w:val="26"/>
        </w:rPr>
      </w:pPr>
    </w:p>
    <w:p w:rsidR="00F84ED4" w:rsidRPr="000437D6" w:rsidRDefault="00F84ED4" w:rsidP="00F84ED4">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tbl>
      <w:tblPr>
        <w:tblStyle w:val="ad"/>
        <w:tblpPr w:leftFromText="180" w:rightFromText="180" w:vertAnchor="page" w:horzAnchor="margin" w:tblpXSpec="center" w:tblpY="398"/>
        <w:tblW w:w="16013" w:type="dxa"/>
        <w:tblLayout w:type="fixed"/>
        <w:tblLook w:val="04A0" w:firstRow="1" w:lastRow="0" w:firstColumn="1" w:lastColumn="0" w:noHBand="0" w:noVBand="1"/>
      </w:tblPr>
      <w:tblGrid>
        <w:gridCol w:w="419"/>
        <w:gridCol w:w="1136"/>
        <w:gridCol w:w="1275"/>
        <w:gridCol w:w="2694"/>
        <w:gridCol w:w="1417"/>
        <w:gridCol w:w="709"/>
        <w:gridCol w:w="1984"/>
        <w:gridCol w:w="1985"/>
        <w:gridCol w:w="850"/>
        <w:gridCol w:w="709"/>
        <w:gridCol w:w="709"/>
        <w:gridCol w:w="709"/>
        <w:gridCol w:w="708"/>
        <w:gridCol w:w="709"/>
      </w:tblGrid>
      <w:tr w:rsidR="00F84ED4" w:rsidRPr="001A7103" w:rsidTr="00021BE6">
        <w:trPr>
          <w:trHeight w:val="843"/>
        </w:trPr>
        <w:tc>
          <w:tcPr>
            <w:tcW w:w="419" w:type="dxa"/>
            <w:vMerge w:val="restart"/>
          </w:tcPr>
          <w:bookmarkEnd w:id="0"/>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 п/п</w:t>
            </w:r>
          </w:p>
        </w:tc>
        <w:tc>
          <w:tcPr>
            <w:tcW w:w="1136" w:type="dxa"/>
            <w:vMerge w:val="restart"/>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Наименование товара, работы, услуги</w:t>
            </w:r>
          </w:p>
        </w:tc>
        <w:tc>
          <w:tcPr>
            <w:tcW w:w="1275" w:type="dxa"/>
            <w:vMerge w:val="restart"/>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Код позиции</w:t>
            </w:r>
          </w:p>
        </w:tc>
        <w:tc>
          <w:tcPr>
            <w:tcW w:w="6804" w:type="dxa"/>
            <w:gridSpan w:val="4"/>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Характеристики товара, работы, услуги</w:t>
            </w:r>
          </w:p>
        </w:tc>
        <w:tc>
          <w:tcPr>
            <w:tcW w:w="1985" w:type="dxa"/>
            <w:vMerge w:val="restart"/>
          </w:tcPr>
          <w:p w:rsidR="00F84ED4" w:rsidRPr="001A7103" w:rsidRDefault="00F84ED4" w:rsidP="00021BE6">
            <w:pPr>
              <w:jc w:val="center"/>
              <w:rPr>
                <w:rFonts w:ascii="Times New Roman" w:eastAsia="Times New Roman" w:hAnsi="Times New Roman" w:cs="Times New Roman"/>
                <w:b/>
                <w:bCs/>
                <w:sz w:val="18"/>
                <w:szCs w:val="18"/>
                <w:lang w:eastAsia="ru-RU"/>
              </w:rPr>
            </w:pPr>
            <w:r w:rsidRPr="001A7103">
              <w:rPr>
                <w:rFonts w:ascii="Times New Roman" w:eastAsia="Times New Roman" w:hAnsi="Times New Roman" w:cs="Times New Roman"/>
                <w:b/>
                <w:bCs/>
                <w:sz w:val="18"/>
                <w:szCs w:val="18"/>
                <w:lang w:eastAsia="ru-RU"/>
              </w:rPr>
              <w:t>Обоснование характеристик</w:t>
            </w:r>
          </w:p>
        </w:tc>
        <w:tc>
          <w:tcPr>
            <w:tcW w:w="850" w:type="dxa"/>
            <w:vMerge w:val="restart"/>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Количество (объем работы, услуги)</w:t>
            </w:r>
          </w:p>
        </w:tc>
        <w:tc>
          <w:tcPr>
            <w:tcW w:w="709" w:type="dxa"/>
            <w:vMerge w:val="restart"/>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Единица измерения</w:t>
            </w:r>
          </w:p>
        </w:tc>
        <w:tc>
          <w:tcPr>
            <w:tcW w:w="709" w:type="dxa"/>
            <w:vMerge w:val="restart"/>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Страна происхождения</w:t>
            </w:r>
          </w:p>
        </w:tc>
        <w:tc>
          <w:tcPr>
            <w:tcW w:w="709" w:type="dxa"/>
            <w:vMerge w:val="restart"/>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Ставка НДС %</w:t>
            </w:r>
          </w:p>
        </w:tc>
        <w:tc>
          <w:tcPr>
            <w:tcW w:w="708" w:type="dxa"/>
            <w:vMerge w:val="restart"/>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 xml:space="preserve">Цена за ед. без НДС </w:t>
            </w:r>
          </w:p>
        </w:tc>
        <w:tc>
          <w:tcPr>
            <w:tcW w:w="709" w:type="dxa"/>
            <w:vMerge w:val="restart"/>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Сумма без НДС</w:t>
            </w:r>
          </w:p>
          <w:p w:rsidR="00F84ED4" w:rsidRPr="001A7103" w:rsidRDefault="00F84ED4" w:rsidP="00021BE6">
            <w:pPr>
              <w:rPr>
                <w:rFonts w:ascii="Times New Roman" w:hAnsi="Times New Roman" w:cs="Times New Roman"/>
                <w:b/>
                <w:bCs/>
                <w:sz w:val="18"/>
                <w:szCs w:val="18"/>
              </w:rPr>
            </w:pPr>
          </w:p>
        </w:tc>
      </w:tr>
      <w:tr w:rsidR="00F84ED4" w:rsidRPr="001A7103" w:rsidTr="00021BE6">
        <w:tc>
          <w:tcPr>
            <w:tcW w:w="419" w:type="dxa"/>
            <w:vMerge/>
          </w:tcPr>
          <w:p w:rsidR="00F84ED4" w:rsidRPr="001A7103" w:rsidRDefault="00F84ED4" w:rsidP="00021BE6">
            <w:pPr>
              <w:jc w:val="center"/>
              <w:rPr>
                <w:rFonts w:ascii="Times New Roman" w:hAnsi="Times New Roman" w:cs="Times New Roman"/>
                <w:b/>
                <w:bCs/>
                <w:sz w:val="18"/>
                <w:szCs w:val="18"/>
              </w:rPr>
            </w:pPr>
          </w:p>
        </w:tc>
        <w:tc>
          <w:tcPr>
            <w:tcW w:w="1136" w:type="dxa"/>
            <w:vMerge/>
          </w:tcPr>
          <w:p w:rsidR="00F84ED4" w:rsidRPr="001A7103" w:rsidRDefault="00F84ED4" w:rsidP="00021BE6">
            <w:pPr>
              <w:jc w:val="center"/>
              <w:rPr>
                <w:rFonts w:ascii="Times New Roman" w:hAnsi="Times New Roman" w:cs="Times New Roman"/>
                <w:b/>
                <w:bCs/>
                <w:sz w:val="18"/>
                <w:szCs w:val="18"/>
              </w:rPr>
            </w:pPr>
          </w:p>
        </w:tc>
        <w:tc>
          <w:tcPr>
            <w:tcW w:w="1275" w:type="dxa"/>
            <w:vMerge/>
          </w:tcPr>
          <w:p w:rsidR="00F84ED4" w:rsidRPr="001A7103" w:rsidRDefault="00F84ED4" w:rsidP="00021BE6">
            <w:pPr>
              <w:jc w:val="center"/>
              <w:rPr>
                <w:rFonts w:ascii="Times New Roman" w:hAnsi="Times New Roman" w:cs="Times New Roman"/>
                <w:b/>
                <w:bCs/>
                <w:sz w:val="18"/>
                <w:szCs w:val="18"/>
              </w:rPr>
            </w:pPr>
          </w:p>
        </w:tc>
        <w:tc>
          <w:tcPr>
            <w:tcW w:w="2694" w:type="dxa"/>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Наименование характеристики</w:t>
            </w:r>
          </w:p>
        </w:tc>
        <w:tc>
          <w:tcPr>
            <w:tcW w:w="1417" w:type="dxa"/>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Значение характеристики</w:t>
            </w:r>
          </w:p>
        </w:tc>
        <w:tc>
          <w:tcPr>
            <w:tcW w:w="709" w:type="dxa"/>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Единица измерения характеристики</w:t>
            </w:r>
          </w:p>
        </w:tc>
        <w:tc>
          <w:tcPr>
            <w:tcW w:w="1984" w:type="dxa"/>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Инструкция по заполнению характеристик в заявке</w:t>
            </w:r>
          </w:p>
        </w:tc>
        <w:tc>
          <w:tcPr>
            <w:tcW w:w="1985" w:type="dxa"/>
            <w:vMerge/>
          </w:tcPr>
          <w:p w:rsidR="00F84ED4" w:rsidRPr="001A7103" w:rsidRDefault="00F84ED4" w:rsidP="00021BE6">
            <w:pPr>
              <w:jc w:val="center"/>
              <w:rPr>
                <w:rFonts w:ascii="Times New Roman" w:hAnsi="Times New Roman" w:cs="Times New Roman"/>
                <w:b/>
                <w:bCs/>
                <w:sz w:val="18"/>
                <w:szCs w:val="18"/>
              </w:rPr>
            </w:pPr>
          </w:p>
        </w:tc>
        <w:tc>
          <w:tcPr>
            <w:tcW w:w="850" w:type="dxa"/>
            <w:vMerge/>
          </w:tcPr>
          <w:p w:rsidR="00F84ED4" w:rsidRPr="001A7103" w:rsidRDefault="00F84ED4" w:rsidP="00021BE6">
            <w:pPr>
              <w:jc w:val="center"/>
              <w:rPr>
                <w:rFonts w:ascii="Times New Roman" w:hAnsi="Times New Roman" w:cs="Times New Roman"/>
                <w:b/>
                <w:bCs/>
                <w:sz w:val="18"/>
                <w:szCs w:val="18"/>
              </w:rPr>
            </w:pPr>
          </w:p>
        </w:tc>
        <w:tc>
          <w:tcPr>
            <w:tcW w:w="709" w:type="dxa"/>
            <w:vMerge/>
          </w:tcPr>
          <w:p w:rsidR="00F84ED4" w:rsidRPr="001A7103" w:rsidRDefault="00F84ED4" w:rsidP="00021BE6">
            <w:pPr>
              <w:jc w:val="center"/>
              <w:rPr>
                <w:rFonts w:ascii="Times New Roman" w:hAnsi="Times New Roman" w:cs="Times New Roman"/>
                <w:b/>
                <w:bCs/>
                <w:sz w:val="18"/>
                <w:szCs w:val="18"/>
              </w:rPr>
            </w:pPr>
          </w:p>
        </w:tc>
        <w:tc>
          <w:tcPr>
            <w:tcW w:w="709" w:type="dxa"/>
            <w:vMerge/>
          </w:tcPr>
          <w:p w:rsidR="00F84ED4" w:rsidRPr="001A7103" w:rsidRDefault="00F84ED4" w:rsidP="00021BE6">
            <w:pPr>
              <w:jc w:val="center"/>
              <w:rPr>
                <w:rFonts w:ascii="Times New Roman" w:hAnsi="Times New Roman" w:cs="Times New Roman"/>
                <w:b/>
                <w:bCs/>
                <w:sz w:val="18"/>
                <w:szCs w:val="18"/>
              </w:rPr>
            </w:pPr>
          </w:p>
        </w:tc>
        <w:tc>
          <w:tcPr>
            <w:tcW w:w="709" w:type="dxa"/>
            <w:vMerge/>
          </w:tcPr>
          <w:p w:rsidR="00F84ED4" w:rsidRPr="001A7103" w:rsidRDefault="00F84ED4" w:rsidP="00021BE6">
            <w:pPr>
              <w:jc w:val="center"/>
              <w:rPr>
                <w:rFonts w:ascii="Times New Roman" w:hAnsi="Times New Roman" w:cs="Times New Roman"/>
                <w:b/>
                <w:bCs/>
                <w:sz w:val="18"/>
                <w:szCs w:val="18"/>
              </w:rPr>
            </w:pPr>
          </w:p>
        </w:tc>
        <w:tc>
          <w:tcPr>
            <w:tcW w:w="708" w:type="dxa"/>
            <w:vMerge/>
          </w:tcPr>
          <w:p w:rsidR="00F84ED4" w:rsidRPr="001A7103" w:rsidRDefault="00F84ED4" w:rsidP="00021BE6">
            <w:pPr>
              <w:jc w:val="center"/>
              <w:rPr>
                <w:rFonts w:ascii="Times New Roman" w:hAnsi="Times New Roman" w:cs="Times New Roman"/>
                <w:b/>
                <w:bCs/>
                <w:sz w:val="18"/>
                <w:szCs w:val="18"/>
              </w:rPr>
            </w:pPr>
          </w:p>
        </w:tc>
        <w:tc>
          <w:tcPr>
            <w:tcW w:w="709" w:type="dxa"/>
            <w:vMerge/>
          </w:tcPr>
          <w:p w:rsidR="00F84ED4" w:rsidRPr="001A7103" w:rsidRDefault="00F84ED4" w:rsidP="00021BE6">
            <w:pPr>
              <w:jc w:val="center"/>
              <w:rPr>
                <w:rFonts w:ascii="Times New Roman" w:hAnsi="Times New Roman" w:cs="Times New Roman"/>
                <w:b/>
                <w:bCs/>
                <w:sz w:val="18"/>
                <w:szCs w:val="18"/>
              </w:rPr>
            </w:pPr>
          </w:p>
        </w:tc>
      </w:tr>
      <w:tr w:rsidR="00F84ED4" w:rsidRPr="001A7103" w:rsidTr="00021BE6">
        <w:tc>
          <w:tcPr>
            <w:tcW w:w="419" w:type="dxa"/>
            <w:vMerge w:val="restart"/>
          </w:tcPr>
          <w:p w:rsidR="00F84ED4" w:rsidRPr="001A7103" w:rsidRDefault="00F84ED4" w:rsidP="00021BE6">
            <w:pPr>
              <w:jc w:val="center"/>
              <w:rPr>
                <w:rFonts w:ascii="Times New Roman" w:hAnsi="Times New Roman" w:cs="Times New Roman"/>
                <w:b/>
                <w:bCs/>
                <w:sz w:val="18"/>
                <w:szCs w:val="18"/>
              </w:rPr>
            </w:pPr>
            <w:r w:rsidRPr="001A7103">
              <w:rPr>
                <w:rFonts w:ascii="Times New Roman" w:hAnsi="Times New Roman" w:cs="Times New Roman"/>
                <w:b/>
                <w:bCs/>
                <w:sz w:val="18"/>
                <w:szCs w:val="18"/>
              </w:rPr>
              <w:t>1</w:t>
            </w:r>
          </w:p>
        </w:tc>
        <w:tc>
          <w:tcPr>
            <w:tcW w:w="1136" w:type="dxa"/>
            <w:vMerge w:val="restart"/>
          </w:tcPr>
          <w:p w:rsidR="00F84ED4" w:rsidRPr="001A7103" w:rsidRDefault="00F84ED4" w:rsidP="00021BE6">
            <w:pPr>
              <w:widowControl w:val="0"/>
              <w:autoSpaceDE w:val="0"/>
              <w:autoSpaceDN w:val="0"/>
              <w:adjustRightInd w:val="0"/>
              <w:jc w:val="center"/>
              <w:rPr>
                <w:rFonts w:ascii="Times New Roman" w:hAnsi="Times New Roman" w:cs="Times New Roman"/>
                <w:bCs/>
                <w:sz w:val="18"/>
                <w:szCs w:val="18"/>
              </w:rPr>
            </w:pPr>
            <w:r w:rsidRPr="001A7103">
              <w:rPr>
                <w:rFonts w:ascii="Times New Roman" w:hAnsi="Times New Roman" w:cs="Times New Roman"/>
                <w:color w:val="000000"/>
                <w:sz w:val="18"/>
                <w:szCs w:val="18"/>
              </w:rPr>
              <w:t>Костный цемент</w:t>
            </w:r>
          </w:p>
        </w:tc>
        <w:tc>
          <w:tcPr>
            <w:tcW w:w="1275" w:type="dxa"/>
            <w:vMerge w:val="restart"/>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color w:val="000000"/>
                <w:sz w:val="18"/>
                <w:szCs w:val="18"/>
              </w:rPr>
              <w:t>32.50.22.190</w:t>
            </w:r>
          </w:p>
        </w:tc>
        <w:tc>
          <w:tcPr>
            <w:tcW w:w="2694" w:type="dxa"/>
            <w:shd w:val="clear" w:color="auto" w:fill="auto"/>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color w:val="000000"/>
                <w:sz w:val="18"/>
                <w:szCs w:val="18"/>
              </w:rPr>
              <w:t>Состоит из порошковой и жидкой частей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sz w:val="18"/>
                <w:szCs w:val="18"/>
              </w:rPr>
              <w:t>соответствие</w:t>
            </w:r>
          </w:p>
        </w:tc>
        <w:tc>
          <w:tcPr>
            <w:tcW w:w="709" w:type="dxa"/>
            <w:shd w:val="clear" w:color="auto" w:fill="auto"/>
            <w:vAlign w:val="center"/>
          </w:tcPr>
          <w:p w:rsidR="00F84ED4" w:rsidRPr="001A7103" w:rsidRDefault="00F84ED4" w:rsidP="00021BE6">
            <w:pPr>
              <w:jc w:val="center"/>
              <w:rPr>
                <w:rFonts w:ascii="Times New Roman" w:hAnsi="Times New Roman" w:cs="Times New Roman"/>
                <w:sz w:val="18"/>
                <w:szCs w:val="18"/>
              </w:rPr>
            </w:pPr>
          </w:p>
        </w:tc>
        <w:tc>
          <w:tcPr>
            <w:tcW w:w="1984" w:type="dxa"/>
            <w:shd w:val="clear" w:color="auto" w:fill="auto"/>
            <w:vAlign w:val="center"/>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color w:val="000000"/>
                <w:sz w:val="18"/>
                <w:szCs w:val="18"/>
              </w:rPr>
              <w:t>Значение характеристики не может изменяться участником закупки</w:t>
            </w:r>
          </w:p>
        </w:tc>
        <w:tc>
          <w:tcPr>
            <w:tcW w:w="1985" w:type="dxa"/>
            <w:vMerge w:val="restart"/>
            <w:shd w:val="clear" w:color="auto" w:fill="auto"/>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sz w:val="18"/>
                <w:szCs w:val="18"/>
              </w:rPr>
              <w:t>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безопасности пациентов при выполнении медицинских вмешательств, предотвращения аллергических реакций и контаминации патогенами, выполнения требований санэпидрежима.</w:t>
            </w:r>
          </w:p>
        </w:tc>
        <w:tc>
          <w:tcPr>
            <w:tcW w:w="850" w:type="dxa"/>
            <w:vMerge w:val="restart"/>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sz w:val="18"/>
                <w:szCs w:val="18"/>
              </w:rPr>
              <w:t>30</w:t>
            </w:r>
          </w:p>
        </w:tc>
        <w:tc>
          <w:tcPr>
            <w:tcW w:w="709" w:type="dxa"/>
            <w:vMerge w:val="restart"/>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sz w:val="18"/>
                <w:szCs w:val="18"/>
              </w:rPr>
              <w:t>компл</w:t>
            </w:r>
          </w:p>
        </w:tc>
        <w:tc>
          <w:tcPr>
            <w:tcW w:w="709" w:type="dxa"/>
            <w:vMerge w:val="restart"/>
          </w:tcPr>
          <w:p w:rsidR="00F84ED4" w:rsidRPr="001A7103" w:rsidRDefault="00F84ED4" w:rsidP="00021BE6">
            <w:pPr>
              <w:rPr>
                <w:rFonts w:ascii="Times New Roman" w:hAnsi="Times New Roman" w:cs="Times New Roman"/>
                <w:sz w:val="18"/>
                <w:szCs w:val="18"/>
              </w:rPr>
            </w:pPr>
          </w:p>
        </w:tc>
        <w:tc>
          <w:tcPr>
            <w:tcW w:w="709" w:type="dxa"/>
            <w:vMerge w:val="restart"/>
          </w:tcPr>
          <w:p w:rsidR="00F84ED4" w:rsidRPr="001A7103" w:rsidRDefault="00F84ED4" w:rsidP="00021BE6">
            <w:pPr>
              <w:rPr>
                <w:rFonts w:ascii="Times New Roman" w:hAnsi="Times New Roman" w:cs="Times New Roman"/>
                <w:sz w:val="18"/>
                <w:szCs w:val="18"/>
              </w:rPr>
            </w:pPr>
          </w:p>
        </w:tc>
        <w:tc>
          <w:tcPr>
            <w:tcW w:w="708" w:type="dxa"/>
            <w:vMerge w:val="restart"/>
          </w:tcPr>
          <w:p w:rsidR="00F84ED4" w:rsidRPr="001A7103" w:rsidRDefault="00F84ED4" w:rsidP="00021BE6">
            <w:pPr>
              <w:rPr>
                <w:rFonts w:ascii="Times New Roman" w:hAnsi="Times New Roman" w:cs="Times New Roman"/>
                <w:sz w:val="18"/>
                <w:szCs w:val="18"/>
              </w:rPr>
            </w:pPr>
          </w:p>
        </w:tc>
        <w:tc>
          <w:tcPr>
            <w:tcW w:w="709" w:type="dxa"/>
            <w:vMerge w:val="restart"/>
          </w:tcPr>
          <w:p w:rsidR="00F84ED4" w:rsidRPr="001A7103" w:rsidRDefault="00F84ED4" w:rsidP="00021BE6">
            <w:pPr>
              <w:rPr>
                <w:rFonts w:ascii="Times New Roman" w:hAnsi="Times New Roman" w:cs="Times New Roman"/>
                <w:sz w:val="18"/>
                <w:szCs w:val="18"/>
              </w:rPr>
            </w:pPr>
          </w:p>
        </w:tc>
      </w:tr>
      <w:tr w:rsidR="00F84ED4" w:rsidRPr="001A7103" w:rsidTr="00021BE6">
        <w:tc>
          <w:tcPr>
            <w:tcW w:w="419" w:type="dxa"/>
            <w:vMerge/>
          </w:tcPr>
          <w:p w:rsidR="00F84ED4" w:rsidRPr="001A7103" w:rsidRDefault="00F84ED4" w:rsidP="00021BE6">
            <w:pPr>
              <w:jc w:val="center"/>
              <w:rPr>
                <w:rFonts w:ascii="Times New Roman" w:hAnsi="Times New Roman" w:cs="Times New Roman"/>
                <w:b/>
                <w:bCs/>
                <w:sz w:val="18"/>
                <w:szCs w:val="18"/>
              </w:rPr>
            </w:pPr>
          </w:p>
        </w:tc>
        <w:tc>
          <w:tcPr>
            <w:tcW w:w="1136" w:type="dxa"/>
            <w:vMerge/>
          </w:tcPr>
          <w:p w:rsidR="00F84ED4" w:rsidRPr="001A7103" w:rsidRDefault="00F84ED4" w:rsidP="00021BE6">
            <w:pPr>
              <w:widowControl w:val="0"/>
              <w:autoSpaceDE w:val="0"/>
              <w:autoSpaceDN w:val="0"/>
              <w:adjustRightInd w:val="0"/>
              <w:jc w:val="center"/>
              <w:rPr>
                <w:rFonts w:ascii="Times New Roman" w:hAnsi="Times New Roman" w:cs="Times New Roman"/>
                <w:bCs/>
                <w:sz w:val="18"/>
                <w:szCs w:val="18"/>
              </w:rPr>
            </w:pPr>
          </w:p>
        </w:tc>
        <w:tc>
          <w:tcPr>
            <w:tcW w:w="1275" w:type="dxa"/>
            <w:vMerge/>
          </w:tcPr>
          <w:p w:rsidR="00F84ED4" w:rsidRPr="001A7103" w:rsidRDefault="00F84ED4" w:rsidP="00021BE6">
            <w:pPr>
              <w:rPr>
                <w:rFonts w:ascii="Times New Roman" w:hAnsi="Times New Roman" w:cs="Times New Roman"/>
                <w:sz w:val="18"/>
                <w:szCs w:val="18"/>
              </w:rPr>
            </w:pPr>
          </w:p>
        </w:tc>
        <w:tc>
          <w:tcPr>
            <w:tcW w:w="2694" w:type="dxa"/>
            <w:shd w:val="clear" w:color="auto" w:fill="auto"/>
            <w:vAlign w:val="center"/>
          </w:tcPr>
          <w:p w:rsidR="00F84ED4" w:rsidRPr="001A7103" w:rsidRDefault="00F84ED4" w:rsidP="00021BE6">
            <w:pPr>
              <w:rPr>
                <w:rFonts w:ascii="Times New Roman" w:hAnsi="Times New Roman" w:cs="Times New Roman"/>
                <w:color w:val="000000"/>
                <w:sz w:val="18"/>
                <w:szCs w:val="18"/>
              </w:rPr>
            </w:pPr>
            <w:r w:rsidRPr="001A7103">
              <w:rPr>
                <w:rFonts w:ascii="Times New Roman" w:hAnsi="Times New Roman" w:cs="Times New Roman"/>
                <w:color w:val="000000"/>
                <w:sz w:val="18"/>
                <w:szCs w:val="18"/>
              </w:rPr>
              <w:t>Порошковая часть состоит из полиметилметакрилата, перекиси бензоила, сульфата бария, гентамицина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ED4" w:rsidRPr="001A7103" w:rsidRDefault="00F84ED4" w:rsidP="00021BE6">
            <w:pPr>
              <w:rPr>
                <w:rFonts w:ascii="Times New Roman" w:hAnsi="Times New Roman" w:cs="Times New Roman"/>
                <w:color w:val="000000"/>
                <w:sz w:val="18"/>
                <w:szCs w:val="18"/>
              </w:rPr>
            </w:pPr>
            <w:r w:rsidRPr="001A7103">
              <w:rPr>
                <w:rFonts w:ascii="Times New Roman" w:hAnsi="Times New Roman" w:cs="Times New Roman"/>
                <w:color w:val="000000"/>
                <w:sz w:val="18"/>
                <w:szCs w:val="18"/>
              </w:rPr>
              <w:t>соответствие</w:t>
            </w:r>
          </w:p>
        </w:tc>
        <w:tc>
          <w:tcPr>
            <w:tcW w:w="709" w:type="dxa"/>
            <w:shd w:val="clear" w:color="auto" w:fill="auto"/>
            <w:vAlign w:val="center"/>
          </w:tcPr>
          <w:p w:rsidR="00F84ED4" w:rsidRPr="001A7103" w:rsidRDefault="00F84ED4" w:rsidP="00021BE6">
            <w:pPr>
              <w:jc w:val="center"/>
              <w:rPr>
                <w:rFonts w:ascii="Times New Roman" w:hAnsi="Times New Roman" w:cs="Times New Roman"/>
                <w:color w:val="000000"/>
                <w:sz w:val="18"/>
                <w:szCs w:val="18"/>
              </w:rPr>
            </w:pPr>
          </w:p>
        </w:tc>
        <w:tc>
          <w:tcPr>
            <w:tcW w:w="1984" w:type="dxa"/>
            <w:shd w:val="clear" w:color="auto" w:fill="auto"/>
            <w:vAlign w:val="center"/>
          </w:tcPr>
          <w:p w:rsidR="00F84ED4" w:rsidRPr="001A7103" w:rsidRDefault="00F84ED4" w:rsidP="00021BE6">
            <w:pPr>
              <w:jc w:val="center"/>
              <w:rPr>
                <w:rFonts w:ascii="Times New Roman" w:hAnsi="Times New Roman" w:cs="Times New Roman"/>
                <w:color w:val="000000"/>
                <w:sz w:val="18"/>
                <w:szCs w:val="18"/>
              </w:rPr>
            </w:pPr>
            <w:r w:rsidRPr="001A7103">
              <w:rPr>
                <w:rFonts w:ascii="Times New Roman" w:hAnsi="Times New Roman" w:cs="Times New Roman"/>
                <w:color w:val="000000"/>
                <w:sz w:val="18"/>
                <w:szCs w:val="18"/>
              </w:rPr>
              <w:t>Значение характеристики не может изменяться участником закупки</w:t>
            </w:r>
          </w:p>
        </w:tc>
        <w:tc>
          <w:tcPr>
            <w:tcW w:w="1985" w:type="dxa"/>
            <w:vMerge/>
            <w:shd w:val="clear" w:color="auto" w:fill="auto"/>
          </w:tcPr>
          <w:p w:rsidR="00F84ED4" w:rsidRPr="001A7103" w:rsidRDefault="00F84ED4" w:rsidP="00021BE6">
            <w:pPr>
              <w:jc w:val="center"/>
              <w:rPr>
                <w:rFonts w:ascii="Times New Roman" w:hAnsi="Times New Roman" w:cs="Times New Roman"/>
                <w:color w:val="000000"/>
                <w:sz w:val="18"/>
                <w:szCs w:val="18"/>
              </w:rPr>
            </w:pPr>
          </w:p>
        </w:tc>
        <w:tc>
          <w:tcPr>
            <w:tcW w:w="850" w:type="dxa"/>
            <w:vMerge/>
          </w:tcPr>
          <w:p w:rsidR="00F84ED4" w:rsidRPr="001A7103" w:rsidRDefault="00F84ED4" w:rsidP="00021BE6">
            <w:pPr>
              <w:jc w:val="center"/>
              <w:rPr>
                <w:rFonts w:ascii="Times New Roman" w:hAnsi="Times New Roman" w:cs="Times New Roman"/>
                <w:sz w:val="18"/>
                <w:szCs w:val="18"/>
              </w:rPr>
            </w:pPr>
          </w:p>
        </w:tc>
        <w:tc>
          <w:tcPr>
            <w:tcW w:w="709" w:type="dxa"/>
            <w:vMerge/>
          </w:tcPr>
          <w:p w:rsidR="00F84ED4" w:rsidRPr="001A7103" w:rsidRDefault="00F84ED4" w:rsidP="00021BE6">
            <w:pPr>
              <w:jc w:val="cente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8"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r>
      <w:tr w:rsidR="00F84ED4" w:rsidRPr="001A7103" w:rsidTr="00021BE6">
        <w:tc>
          <w:tcPr>
            <w:tcW w:w="419" w:type="dxa"/>
            <w:vMerge/>
          </w:tcPr>
          <w:p w:rsidR="00F84ED4" w:rsidRPr="001A7103" w:rsidRDefault="00F84ED4" w:rsidP="00021BE6">
            <w:pPr>
              <w:jc w:val="center"/>
              <w:rPr>
                <w:rFonts w:ascii="Times New Roman" w:hAnsi="Times New Roman" w:cs="Times New Roman"/>
                <w:b/>
                <w:bCs/>
                <w:sz w:val="18"/>
                <w:szCs w:val="18"/>
              </w:rPr>
            </w:pPr>
          </w:p>
        </w:tc>
        <w:tc>
          <w:tcPr>
            <w:tcW w:w="1136" w:type="dxa"/>
            <w:vMerge/>
          </w:tcPr>
          <w:p w:rsidR="00F84ED4" w:rsidRPr="001A7103" w:rsidRDefault="00F84ED4" w:rsidP="00021BE6">
            <w:pPr>
              <w:widowControl w:val="0"/>
              <w:autoSpaceDE w:val="0"/>
              <w:autoSpaceDN w:val="0"/>
              <w:adjustRightInd w:val="0"/>
              <w:jc w:val="center"/>
              <w:rPr>
                <w:rFonts w:ascii="Times New Roman" w:hAnsi="Times New Roman" w:cs="Times New Roman"/>
                <w:bCs/>
                <w:sz w:val="18"/>
                <w:szCs w:val="18"/>
              </w:rPr>
            </w:pPr>
          </w:p>
        </w:tc>
        <w:tc>
          <w:tcPr>
            <w:tcW w:w="1275" w:type="dxa"/>
            <w:vMerge/>
          </w:tcPr>
          <w:p w:rsidR="00F84ED4" w:rsidRPr="001A7103" w:rsidRDefault="00F84ED4" w:rsidP="00021BE6">
            <w:pPr>
              <w:rPr>
                <w:rFonts w:ascii="Times New Roman" w:hAnsi="Times New Roman" w:cs="Times New Roman"/>
                <w:sz w:val="18"/>
                <w:szCs w:val="18"/>
              </w:rPr>
            </w:pPr>
          </w:p>
        </w:tc>
        <w:tc>
          <w:tcPr>
            <w:tcW w:w="2694" w:type="dxa"/>
            <w:shd w:val="clear" w:color="auto" w:fill="auto"/>
            <w:vAlign w:val="center"/>
          </w:tcPr>
          <w:p w:rsidR="00F84ED4" w:rsidRPr="001A7103" w:rsidRDefault="00F84ED4" w:rsidP="00021BE6">
            <w:pPr>
              <w:rPr>
                <w:rFonts w:ascii="Times New Roman" w:hAnsi="Times New Roman" w:cs="Times New Roman"/>
                <w:color w:val="000000"/>
                <w:sz w:val="18"/>
                <w:szCs w:val="18"/>
              </w:rPr>
            </w:pPr>
            <w:r w:rsidRPr="001A7103">
              <w:rPr>
                <w:rFonts w:ascii="Times New Roman" w:hAnsi="Times New Roman" w:cs="Times New Roman"/>
                <w:color w:val="000000"/>
                <w:sz w:val="18"/>
                <w:szCs w:val="18"/>
              </w:rPr>
              <w:t>Жидкая часть состоит из метилметакрилата, N, N – диметил-пара-толуидина гидрохинона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ED4" w:rsidRPr="001A7103" w:rsidRDefault="00F84ED4" w:rsidP="00021BE6">
            <w:pPr>
              <w:rPr>
                <w:rFonts w:ascii="Times New Roman" w:hAnsi="Times New Roman" w:cs="Times New Roman"/>
                <w:color w:val="000000"/>
                <w:sz w:val="18"/>
                <w:szCs w:val="18"/>
              </w:rPr>
            </w:pPr>
            <w:r w:rsidRPr="001A7103">
              <w:rPr>
                <w:rFonts w:ascii="Times New Roman" w:hAnsi="Times New Roman" w:cs="Times New Roman"/>
                <w:color w:val="000000"/>
                <w:sz w:val="18"/>
                <w:szCs w:val="18"/>
              </w:rPr>
              <w:t>соответствие</w:t>
            </w:r>
          </w:p>
          <w:p w:rsidR="00F84ED4" w:rsidRPr="001A7103" w:rsidRDefault="00F84ED4" w:rsidP="00021BE6">
            <w:pPr>
              <w:rPr>
                <w:rFonts w:ascii="Times New Roman" w:hAnsi="Times New Roman" w:cs="Times New Roman"/>
                <w:sz w:val="18"/>
                <w:szCs w:val="18"/>
              </w:rPr>
            </w:pPr>
          </w:p>
        </w:tc>
        <w:tc>
          <w:tcPr>
            <w:tcW w:w="709" w:type="dxa"/>
            <w:shd w:val="clear" w:color="auto" w:fill="auto"/>
            <w:vAlign w:val="center"/>
          </w:tcPr>
          <w:p w:rsidR="00F84ED4" w:rsidRPr="001A7103" w:rsidRDefault="00F84ED4" w:rsidP="00021BE6">
            <w:pPr>
              <w:jc w:val="center"/>
              <w:rPr>
                <w:rFonts w:ascii="Times New Roman" w:hAnsi="Times New Roman" w:cs="Times New Roman"/>
                <w:color w:val="000000"/>
                <w:sz w:val="18"/>
                <w:szCs w:val="18"/>
              </w:rPr>
            </w:pPr>
          </w:p>
        </w:tc>
        <w:tc>
          <w:tcPr>
            <w:tcW w:w="1984" w:type="dxa"/>
            <w:shd w:val="clear" w:color="auto" w:fill="auto"/>
          </w:tcPr>
          <w:p w:rsidR="00F84ED4" w:rsidRPr="001A7103" w:rsidRDefault="00F84ED4" w:rsidP="00021BE6">
            <w:pPr>
              <w:jc w:val="center"/>
              <w:rPr>
                <w:rFonts w:ascii="Times New Roman" w:hAnsi="Times New Roman" w:cs="Times New Roman"/>
                <w:color w:val="000000"/>
                <w:sz w:val="18"/>
                <w:szCs w:val="18"/>
              </w:rPr>
            </w:pPr>
            <w:r w:rsidRPr="001A7103">
              <w:rPr>
                <w:rFonts w:ascii="Times New Roman" w:hAnsi="Times New Roman" w:cs="Times New Roman"/>
                <w:color w:val="000000"/>
                <w:sz w:val="18"/>
                <w:szCs w:val="18"/>
              </w:rPr>
              <w:t>Значение характеристики не может изменяться участником закупки</w:t>
            </w:r>
          </w:p>
        </w:tc>
        <w:tc>
          <w:tcPr>
            <w:tcW w:w="1985" w:type="dxa"/>
            <w:vMerge/>
            <w:shd w:val="clear" w:color="auto" w:fill="auto"/>
          </w:tcPr>
          <w:p w:rsidR="00F84ED4" w:rsidRPr="001A7103" w:rsidRDefault="00F84ED4" w:rsidP="00021BE6">
            <w:pPr>
              <w:jc w:val="center"/>
              <w:rPr>
                <w:rFonts w:ascii="Times New Roman" w:hAnsi="Times New Roman" w:cs="Times New Roman"/>
                <w:color w:val="000000"/>
                <w:sz w:val="18"/>
                <w:szCs w:val="18"/>
              </w:rPr>
            </w:pPr>
          </w:p>
        </w:tc>
        <w:tc>
          <w:tcPr>
            <w:tcW w:w="850" w:type="dxa"/>
            <w:vMerge/>
          </w:tcPr>
          <w:p w:rsidR="00F84ED4" w:rsidRPr="001A7103" w:rsidRDefault="00F84ED4" w:rsidP="00021BE6">
            <w:pPr>
              <w:jc w:val="center"/>
              <w:rPr>
                <w:rFonts w:ascii="Times New Roman" w:hAnsi="Times New Roman" w:cs="Times New Roman"/>
                <w:sz w:val="18"/>
                <w:szCs w:val="18"/>
              </w:rPr>
            </w:pPr>
          </w:p>
        </w:tc>
        <w:tc>
          <w:tcPr>
            <w:tcW w:w="709" w:type="dxa"/>
            <w:vMerge/>
          </w:tcPr>
          <w:p w:rsidR="00F84ED4" w:rsidRPr="001A7103" w:rsidRDefault="00F84ED4" w:rsidP="00021BE6">
            <w:pPr>
              <w:jc w:val="cente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8"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r>
      <w:tr w:rsidR="00F84ED4" w:rsidRPr="001A7103" w:rsidTr="00021BE6">
        <w:tc>
          <w:tcPr>
            <w:tcW w:w="419" w:type="dxa"/>
            <w:vMerge/>
          </w:tcPr>
          <w:p w:rsidR="00F84ED4" w:rsidRPr="001A7103" w:rsidRDefault="00F84ED4" w:rsidP="00021BE6">
            <w:pPr>
              <w:jc w:val="center"/>
              <w:rPr>
                <w:rFonts w:ascii="Times New Roman" w:hAnsi="Times New Roman" w:cs="Times New Roman"/>
                <w:sz w:val="18"/>
                <w:szCs w:val="18"/>
              </w:rPr>
            </w:pPr>
          </w:p>
        </w:tc>
        <w:tc>
          <w:tcPr>
            <w:tcW w:w="1136" w:type="dxa"/>
            <w:vMerge/>
          </w:tcPr>
          <w:p w:rsidR="00F84ED4" w:rsidRPr="001A7103" w:rsidRDefault="00F84ED4" w:rsidP="00021BE6">
            <w:pPr>
              <w:rPr>
                <w:rFonts w:ascii="Times New Roman" w:hAnsi="Times New Roman" w:cs="Times New Roman"/>
                <w:sz w:val="18"/>
                <w:szCs w:val="18"/>
              </w:rPr>
            </w:pPr>
          </w:p>
        </w:tc>
        <w:tc>
          <w:tcPr>
            <w:tcW w:w="1275" w:type="dxa"/>
            <w:vMerge/>
          </w:tcPr>
          <w:p w:rsidR="00F84ED4" w:rsidRPr="001A7103" w:rsidRDefault="00F84ED4" w:rsidP="00021BE6">
            <w:pPr>
              <w:rPr>
                <w:rFonts w:ascii="Times New Roman" w:hAnsi="Times New Roman" w:cs="Times New Roman"/>
                <w:sz w:val="18"/>
                <w:szCs w:val="18"/>
              </w:rPr>
            </w:pPr>
          </w:p>
        </w:tc>
        <w:tc>
          <w:tcPr>
            <w:tcW w:w="2694" w:type="dxa"/>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color w:val="000000"/>
                <w:sz w:val="18"/>
                <w:szCs w:val="18"/>
              </w:rPr>
              <w:t>Соотношение жидкой части к порошковой - 1:2</w:t>
            </w:r>
          </w:p>
        </w:tc>
        <w:tc>
          <w:tcPr>
            <w:tcW w:w="1417" w:type="dxa"/>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sz w:val="18"/>
                <w:szCs w:val="18"/>
              </w:rPr>
              <w:t>соответствие</w:t>
            </w:r>
          </w:p>
        </w:tc>
        <w:tc>
          <w:tcPr>
            <w:tcW w:w="709" w:type="dxa"/>
            <w:vAlign w:val="center"/>
          </w:tcPr>
          <w:p w:rsidR="00F84ED4" w:rsidRPr="001A7103" w:rsidRDefault="00F84ED4" w:rsidP="00021BE6">
            <w:pPr>
              <w:jc w:val="center"/>
              <w:rPr>
                <w:rFonts w:ascii="Times New Roman" w:hAnsi="Times New Roman" w:cs="Times New Roman"/>
                <w:sz w:val="18"/>
                <w:szCs w:val="18"/>
              </w:rPr>
            </w:pPr>
          </w:p>
        </w:tc>
        <w:tc>
          <w:tcPr>
            <w:tcW w:w="1984" w:type="dxa"/>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color w:val="000000"/>
                <w:sz w:val="18"/>
                <w:szCs w:val="18"/>
              </w:rPr>
              <w:t>Значение характеристики не может изменяться участником закупки</w:t>
            </w:r>
          </w:p>
        </w:tc>
        <w:tc>
          <w:tcPr>
            <w:tcW w:w="1985" w:type="dxa"/>
            <w:vMerge/>
          </w:tcPr>
          <w:p w:rsidR="00F84ED4" w:rsidRPr="001A7103" w:rsidRDefault="00F84ED4" w:rsidP="00021BE6">
            <w:pPr>
              <w:rPr>
                <w:rFonts w:ascii="Times New Roman" w:hAnsi="Times New Roman" w:cs="Times New Roman"/>
                <w:sz w:val="18"/>
                <w:szCs w:val="18"/>
              </w:rPr>
            </w:pPr>
          </w:p>
        </w:tc>
        <w:tc>
          <w:tcPr>
            <w:tcW w:w="850"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8"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r>
      <w:tr w:rsidR="00F84ED4" w:rsidRPr="001A7103" w:rsidTr="00021BE6">
        <w:tc>
          <w:tcPr>
            <w:tcW w:w="419" w:type="dxa"/>
            <w:vMerge/>
          </w:tcPr>
          <w:p w:rsidR="00F84ED4" w:rsidRPr="001A7103" w:rsidRDefault="00F84ED4" w:rsidP="00021BE6">
            <w:pPr>
              <w:jc w:val="center"/>
              <w:rPr>
                <w:rFonts w:ascii="Times New Roman" w:hAnsi="Times New Roman" w:cs="Times New Roman"/>
                <w:sz w:val="18"/>
                <w:szCs w:val="18"/>
              </w:rPr>
            </w:pPr>
          </w:p>
        </w:tc>
        <w:tc>
          <w:tcPr>
            <w:tcW w:w="1136" w:type="dxa"/>
            <w:vMerge/>
          </w:tcPr>
          <w:p w:rsidR="00F84ED4" w:rsidRPr="001A7103" w:rsidRDefault="00F84ED4" w:rsidP="00021BE6">
            <w:pPr>
              <w:rPr>
                <w:rFonts w:ascii="Times New Roman" w:hAnsi="Times New Roman" w:cs="Times New Roman"/>
                <w:sz w:val="18"/>
                <w:szCs w:val="18"/>
              </w:rPr>
            </w:pPr>
          </w:p>
        </w:tc>
        <w:tc>
          <w:tcPr>
            <w:tcW w:w="1275" w:type="dxa"/>
            <w:vMerge/>
          </w:tcPr>
          <w:p w:rsidR="00F84ED4" w:rsidRPr="001A7103" w:rsidRDefault="00F84ED4" w:rsidP="00021BE6">
            <w:pPr>
              <w:rPr>
                <w:rFonts w:ascii="Times New Roman" w:hAnsi="Times New Roman" w:cs="Times New Roman"/>
                <w:sz w:val="18"/>
                <w:szCs w:val="18"/>
              </w:rPr>
            </w:pPr>
          </w:p>
        </w:tc>
        <w:tc>
          <w:tcPr>
            <w:tcW w:w="2694" w:type="dxa"/>
            <w:vAlign w:val="center"/>
          </w:tcPr>
          <w:p w:rsidR="00F84ED4" w:rsidRPr="001A7103" w:rsidRDefault="00F84ED4" w:rsidP="00021BE6">
            <w:pPr>
              <w:rPr>
                <w:rFonts w:ascii="Times New Roman" w:hAnsi="Times New Roman" w:cs="Times New Roman"/>
                <w:color w:val="000000"/>
                <w:sz w:val="18"/>
                <w:szCs w:val="18"/>
              </w:rPr>
            </w:pPr>
            <w:r w:rsidRPr="001A7103">
              <w:rPr>
                <w:rFonts w:ascii="Times New Roman" w:hAnsi="Times New Roman" w:cs="Times New Roman"/>
                <w:color w:val="000000"/>
                <w:sz w:val="18"/>
                <w:szCs w:val="18"/>
              </w:rPr>
              <w:t>Рентгеноконтрастным веществом является сульфат бария</w:t>
            </w:r>
          </w:p>
        </w:tc>
        <w:tc>
          <w:tcPr>
            <w:tcW w:w="1417" w:type="dxa"/>
            <w:vAlign w:val="center"/>
          </w:tcPr>
          <w:p w:rsidR="00F84ED4" w:rsidRPr="001A7103" w:rsidRDefault="00F84ED4" w:rsidP="00021BE6">
            <w:pPr>
              <w:rPr>
                <w:rFonts w:ascii="Times New Roman" w:hAnsi="Times New Roman" w:cs="Times New Roman"/>
                <w:color w:val="000000"/>
                <w:sz w:val="18"/>
                <w:szCs w:val="18"/>
              </w:rPr>
            </w:pPr>
            <w:r w:rsidRPr="001A7103">
              <w:rPr>
                <w:rFonts w:ascii="Times New Roman" w:hAnsi="Times New Roman" w:cs="Times New Roman"/>
                <w:color w:val="000000"/>
                <w:sz w:val="18"/>
                <w:szCs w:val="18"/>
              </w:rPr>
              <w:t>соответствие</w:t>
            </w:r>
          </w:p>
        </w:tc>
        <w:tc>
          <w:tcPr>
            <w:tcW w:w="709" w:type="dxa"/>
            <w:vAlign w:val="center"/>
          </w:tcPr>
          <w:p w:rsidR="00F84ED4" w:rsidRPr="001A7103" w:rsidRDefault="00F84ED4" w:rsidP="00021BE6">
            <w:pPr>
              <w:jc w:val="center"/>
              <w:rPr>
                <w:rFonts w:ascii="Times New Roman" w:hAnsi="Times New Roman" w:cs="Times New Roman"/>
                <w:color w:val="000000"/>
                <w:sz w:val="18"/>
                <w:szCs w:val="18"/>
              </w:rPr>
            </w:pPr>
          </w:p>
        </w:tc>
        <w:tc>
          <w:tcPr>
            <w:tcW w:w="1984" w:type="dxa"/>
          </w:tcPr>
          <w:p w:rsidR="00F84ED4" w:rsidRPr="001A7103" w:rsidRDefault="00F84ED4" w:rsidP="00021BE6">
            <w:pPr>
              <w:jc w:val="center"/>
              <w:rPr>
                <w:rFonts w:ascii="Times New Roman" w:hAnsi="Times New Roman" w:cs="Times New Roman"/>
                <w:color w:val="000000"/>
                <w:sz w:val="18"/>
                <w:szCs w:val="18"/>
              </w:rPr>
            </w:pPr>
            <w:r w:rsidRPr="001A7103">
              <w:rPr>
                <w:rFonts w:ascii="Times New Roman" w:hAnsi="Times New Roman" w:cs="Times New Roman"/>
                <w:color w:val="000000"/>
                <w:sz w:val="18"/>
                <w:szCs w:val="18"/>
              </w:rPr>
              <w:t>Значение характеристики не может изменяться участником закупки</w:t>
            </w:r>
          </w:p>
        </w:tc>
        <w:tc>
          <w:tcPr>
            <w:tcW w:w="1985" w:type="dxa"/>
            <w:vMerge/>
          </w:tcPr>
          <w:p w:rsidR="00F84ED4" w:rsidRPr="001A7103" w:rsidRDefault="00F84ED4" w:rsidP="00021BE6">
            <w:pPr>
              <w:rPr>
                <w:rFonts w:ascii="Times New Roman" w:hAnsi="Times New Roman" w:cs="Times New Roman"/>
                <w:sz w:val="18"/>
                <w:szCs w:val="18"/>
              </w:rPr>
            </w:pPr>
          </w:p>
        </w:tc>
        <w:tc>
          <w:tcPr>
            <w:tcW w:w="850"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8"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r>
      <w:tr w:rsidR="00F84ED4" w:rsidRPr="001A7103" w:rsidTr="00021BE6">
        <w:tc>
          <w:tcPr>
            <w:tcW w:w="419" w:type="dxa"/>
            <w:vMerge/>
          </w:tcPr>
          <w:p w:rsidR="00F84ED4" w:rsidRPr="001A7103" w:rsidRDefault="00F84ED4" w:rsidP="00021BE6">
            <w:pPr>
              <w:jc w:val="center"/>
              <w:rPr>
                <w:rFonts w:ascii="Times New Roman" w:hAnsi="Times New Roman" w:cs="Times New Roman"/>
                <w:sz w:val="18"/>
                <w:szCs w:val="18"/>
              </w:rPr>
            </w:pPr>
          </w:p>
        </w:tc>
        <w:tc>
          <w:tcPr>
            <w:tcW w:w="1136" w:type="dxa"/>
            <w:vMerge/>
          </w:tcPr>
          <w:p w:rsidR="00F84ED4" w:rsidRPr="001A7103" w:rsidRDefault="00F84ED4" w:rsidP="00021BE6">
            <w:pPr>
              <w:rPr>
                <w:rFonts w:ascii="Times New Roman" w:hAnsi="Times New Roman" w:cs="Times New Roman"/>
                <w:sz w:val="18"/>
                <w:szCs w:val="18"/>
              </w:rPr>
            </w:pPr>
          </w:p>
        </w:tc>
        <w:tc>
          <w:tcPr>
            <w:tcW w:w="1275" w:type="dxa"/>
            <w:vMerge/>
          </w:tcPr>
          <w:p w:rsidR="00F84ED4" w:rsidRPr="001A7103" w:rsidRDefault="00F84ED4" w:rsidP="00021BE6">
            <w:pPr>
              <w:rPr>
                <w:rFonts w:ascii="Times New Roman" w:hAnsi="Times New Roman" w:cs="Times New Roman"/>
                <w:sz w:val="18"/>
                <w:szCs w:val="18"/>
              </w:rPr>
            </w:pPr>
          </w:p>
        </w:tc>
        <w:tc>
          <w:tcPr>
            <w:tcW w:w="2694" w:type="dxa"/>
            <w:vAlign w:val="center"/>
          </w:tcPr>
          <w:p w:rsidR="00F84ED4" w:rsidRPr="001A7103" w:rsidRDefault="00F84ED4" w:rsidP="00021BE6">
            <w:pPr>
              <w:rPr>
                <w:rFonts w:ascii="Times New Roman" w:hAnsi="Times New Roman" w:cs="Times New Roman"/>
                <w:color w:val="000000"/>
                <w:sz w:val="18"/>
                <w:szCs w:val="18"/>
              </w:rPr>
            </w:pPr>
            <w:r w:rsidRPr="001A7103">
              <w:rPr>
                <w:rFonts w:ascii="Times New Roman" w:hAnsi="Times New Roman" w:cs="Times New Roman"/>
                <w:color w:val="000000"/>
                <w:sz w:val="18"/>
                <w:szCs w:val="18"/>
              </w:rPr>
              <w:t xml:space="preserve">Содержание рентгеноконтрастного вещества </w:t>
            </w:r>
          </w:p>
        </w:tc>
        <w:tc>
          <w:tcPr>
            <w:tcW w:w="1417" w:type="dxa"/>
            <w:vAlign w:val="center"/>
          </w:tcPr>
          <w:p w:rsidR="00F84ED4" w:rsidRPr="001A7103" w:rsidRDefault="00F84ED4" w:rsidP="00021BE6">
            <w:pPr>
              <w:rPr>
                <w:rFonts w:ascii="Times New Roman" w:hAnsi="Times New Roman" w:cs="Times New Roman"/>
                <w:color w:val="000000"/>
                <w:sz w:val="18"/>
                <w:szCs w:val="18"/>
              </w:rPr>
            </w:pPr>
            <w:r w:rsidRPr="001A7103">
              <w:rPr>
                <w:rFonts w:ascii="Times New Roman" w:hAnsi="Times New Roman" w:cs="Times New Roman"/>
                <w:color w:val="000000"/>
                <w:sz w:val="18"/>
                <w:szCs w:val="18"/>
              </w:rPr>
              <w:t xml:space="preserve"> не менее 15 </w:t>
            </w:r>
          </w:p>
        </w:tc>
        <w:tc>
          <w:tcPr>
            <w:tcW w:w="709" w:type="dxa"/>
            <w:vAlign w:val="center"/>
          </w:tcPr>
          <w:p w:rsidR="00F84ED4" w:rsidRPr="001A7103" w:rsidRDefault="00F84ED4" w:rsidP="00021BE6">
            <w:pPr>
              <w:jc w:val="center"/>
              <w:rPr>
                <w:rFonts w:ascii="Times New Roman" w:hAnsi="Times New Roman" w:cs="Times New Roman"/>
                <w:color w:val="000000"/>
                <w:sz w:val="18"/>
                <w:szCs w:val="18"/>
              </w:rPr>
            </w:pPr>
            <w:r w:rsidRPr="001A7103">
              <w:rPr>
                <w:rFonts w:ascii="Times New Roman" w:hAnsi="Times New Roman" w:cs="Times New Roman"/>
                <w:color w:val="000000"/>
                <w:sz w:val="18"/>
                <w:szCs w:val="18"/>
              </w:rPr>
              <w:t>%</w:t>
            </w:r>
          </w:p>
        </w:tc>
        <w:tc>
          <w:tcPr>
            <w:tcW w:w="1984" w:type="dxa"/>
            <w:vAlign w:val="center"/>
          </w:tcPr>
          <w:p w:rsidR="00F84ED4" w:rsidRPr="001A7103" w:rsidRDefault="00F84ED4" w:rsidP="00021BE6">
            <w:pPr>
              <w:jc w:val="center"/>
              <w:rPr>
                <w:rFonts w:ascii="Times New Roman" w:hAnsi="Times New Roman" w:cs="Times New Roman"/>
                <w:color w:val="000000"/>
                <w:sz w:val="18"/>
                <w:szCs w:val="18"/>
              </w:rPr>
            </w:pPr>
            <w:r w:rsidRPr="001A7103">
              <w:rPr>
                <w:rFonts w:ascii="Times New Roman" w:hAnsi="Times New Roman" w:cs="Times New Roman"/>
                <w:color w:val="000000"/>
                <w:sz w:val="18"/>
                <w:szCs w:val="18"/>
              </w:rPr>
              <w:t>Указывают в заявке конкретное значение характеристики</w:t>
            </w:r>
          </w:p>
        </w:tc>
        <w:tc>
          <w:tcPr>
            <w:tcW w:w="1985" w:type="dxa"/>
            <w:vMerge/>
          </w:tcPr>
          <w:p w:rsidR="00F84ED4" w:rsidRPr="001A7103" w:rsidRDefault="00F84ED4" w:rsidP="00021BE6">
            <w:pPr>
              <w:rPr>
                <w:rFonts w:ascii="Times New Roman" w:hAnsi="Times New Roman" w:cs="Times New Roman"/>
                <w:sz w:val="18"/>
                <w:szCs w:val="18"/>
              </w:rPr>
            </w:pPr>
          </w:p>
        </w:tc>
        <w:tc>
          <w:tcPr>
            <w:tcW w:w="850"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8"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r>
      <w:tr w:rsidR="00F84ED4" w:rsidRPr="001A7103" w:rsidTr="00021BE6">
        <w:tc>
          <w:tcPr>
            <w:tcW w:w="419" w:type="dxa"/>
            <w:vMerge/>
          </w:tcPr>
          <w:p w:rsidR="00F84ED4" w:rsidRPr="001A7103" w:rsidRDefault="00F84ED4" w:rsidP="00021BE6">
            <w:pPr>
              <w:jc w:val="center"/>
              <w:rPr>
                <w:rFonts w:ascii="Times New Roman" w:hAnsi="Times New Roman" w:cs="Times New Roman"/>
                <w:sz w:val="18"/>
                <w:szCs w:val="18"/>
              </w:rPr>
            </w:pPr>
          </w:p>
        </w:tc>
        <w:tc>
          <w:tcPr>
            <w:tcW w:w="1136" w:type="dxa"/>
            <w:vMerge/>
          </w:tcPr>
          <w:p w:rsidR="00F84ED4" w:rsidRPr="001A7103" w:rsidRDefault="00F84ED4" w:rsidP="00021BE6">
            <w:pPr>
              <w:rPr>
                <w:rFonts w:ascii="Times New Roman" w:hAnsi="Times New Roman" w:cs="Times New Roman"/>
                <w:sz w:val="18"/>
                <w:szCs w:val="18"/>
              </w:rPr>
            </w:pPr>
          </w:p>
        </w:tc>
        <w:tc>
          <w:tcPr>
            <w:tcW w:w="1275" w:type="dxa"/>
            <w:vMerge/>
          </w:tcPr>
          <w:p w:rsidR="00F84ED4" w:rsidRPr="001A7103" w:rsidRDefault="00F84ED4" w:rsidP="00021BE6">
            <w:pPr>
              <w:rPr>
                <w:rFonts w:ascii="Times New Roman" w:hAnsi="Times New Roman" w:cs="Times New Roman"/>
                <w:sz w:val="18"/>
                <w:szCs w:val="18"/>
              </w:rPr>
            </w:pPr>
          </w:p>
        </w:tc>
        <w:tc>
          <w:tcPr>
            <w:tcW w:w="2694" w:type="dxa"/>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color w:val="000000"/>
                <w:sz w:val="18"/>
                <w:szCs w:val="18"/>
              </w:rPr>
              <w:t>Вязкость высокая</w:t>
            </w:r>
          </w:p>
        </w:tc>
        <w:tc>
          <w:tcPr>
            <w:tcW w:w="1417" w:type="dxa"/>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sz w:val="18"/>
                <w:szCs w:val="18"/>
              </w:rPr>
              <w:t>соответствие</w:t>
            </w:r>
          </w:p>
        </w:tc>
        <w:tc>
          <w:tcPr>
            <w:tcW w:w="709" w:type="dxa"/>
            <w:vAlign w:val="center"/>
          </w:tcPr>
          <w:p w:rsidR="00F84ED4" w:rsidRPr="001A7103" w:rsidRDefault="00F84ED4" w:rsidP="00021BE6">
            <w:pPr>
              <w:jc w:val="center"/>
              <w:rPr>
                <w:rFonts w:ascii="Times New Roman" w:hAnsi="Times New Roman" w:cs="Times New Roman"/>
                <w:sz w:val="18"/>
                <w:szCs w:val="18"/>
              </w:rPr>
            </w:pPr>
          </w:p>
        </w:tc>
        <w:tc>
          <w:tcPr>
            <w:tcW w:w="1984" w:type="dxa"/>
            <w:vAlign w:val="center"/>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sz w:val="18"/>
                <w:szCs w:val="18"/>
              </w:rPr>
              <w:t>Значение характеристики не может изменяться участником закупки</w:t>
            </w:r>
          </w:p>
        </w:tc>
        <w:tc>
          <w:tcPr>
            <w:tcW w:w="1985" w:type="dxa"/>
            <w:vMerge/>
          </w:tcPr>
          <w:p w:rsidR="00F84ED4" w:rsidRPr="001A7103" w:rsidRDefault="00F84ED4" w:rsidP="00021BE6">
            <w:pPr>
              <w:rPr>
                <w:rFonts w:ascii="Times New Roman" w:hAnsi="Times New Roman" w:cs="Times New Roman"/>
                <w:sz w:val="18"/>
                <w:szCs w:val="18"/>
              </w:rPr>
            </w:pPr>
          </w:p>
        </w:tc>
        <w:tc>
          <w:tcPr>
            <w:tcW w:w="850"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8"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r>
      <w:tr w:rsidR="00F84ED4" w:rsidRPr="001A7103" w:rsidTr="00021BE6">
        <w:trPr>
          <w:trHeight w:val="680"/>
        </w:trPr>
        <w:tc>
          <w:tcPr>
            <w:tcW w:w="419" w:type="dxa"/>
            <w:vMerge/>
          </w:tcPr>
          <w:p w:rsidR="00F84ED4" w:rsidRPr="001A7103" w:rsidRDefault="00F84ED4" w:rsidP="00021BE6">
            <w:pPr>
              <w:jc w:val="center"/>
              <w:rPr>
                <w:rFonts w:ascii="Times New Roman" w:hAnsi="Times New Roman" w:cs="Times New Roman"/>
                <w:sz w:val="18"/>
                <w:szCs w:val="18"/>
              </w:rPr>
            </w:pPr>
          </w:p>
        </w:tc>
        <w:tc>
          <w:tcPr>
            <w:tcW w:w="1136" w:type="dxa"/>
            <w:vMerge/>
          </w:tcPr>
          <w:p w:rsidR="00F84ED4" w:rsidRPr="001A7103" w:rsidRDefault="00F84ED4" w:rsidP="00021BE6">
            <w:pPr>
              <w:rPr>
                <w:rFonts w:ascii="Times New Roman" w:hAnsi="Times New Roman" w:cs="Times New Roman"/>
                <w:sz w:val="18"/>
                <w:szCs w:val="18"/>
              </w:rPr>
            </w:pPr>
          </w:p>
        </w:tc>
        <w:tc>
          <w:tcPr>
            <w:tcW w:w="1275" w:type="dxa"/>
            <w:vMerge/>
          </w:tcPr>
          <w:p w:rsidR="00F84ED4" w:rsidRPr="001A7103" w:rsidRDefault="00F84ED4" w:rsidP="00021BE6">
            <w:pPr>
              <w:rPr>
                <w:rFonts w:ascii="Times New Roman" w:hAnsi="Times New Roman" w:cs="Times New Roman"/>
                <w:sz w:val="18"/>
                <w:szCs w:val="18"/>
              </w:rPr>
            </w:pPr>
          </w:p>
        </w:tc>
        <w:tc>
          <w:tcPr>
            <w:tcW w:w="2694" w:type="dxa"/>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color w:val="000000"/>
                <w:sz w:val="18"/>
                <w:szCs w:val="18"/>
              </w:rPr>
              <w:t xml:space="preserve">Дозировка </w:t>
            </w:r>
          </w:p>
        </w:tc>
        <w:tc>
          <w:tcPr>
            <w:tcW w:w="1417" w:type="dxa"/>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sz w:val="18"/>
                <w:szCs w:val="18"/>
              </w:rPr>
              <w:t>не менее 40</w:t>
            </w:r>
          </w:p>
        </w:tc>
        <w:tc>
          <w:tcPr>
            <w:tcW w:w="709" w:type="dxa"/>
            <w:vAlign w:val="center"/>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sz w:val="18"/>
                <w:szCs w:val="18"/>
              </w:rPr>
              <w:t>г</w:t>
            </w:r>
          </w:p>
        </w:tc>
        <w:tc>
          <w:tcPr>
            <w:tcW w:w="1984" w:type="dxa"/>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color w:val="000000"/>
                <w:sz w:val="18"/>
                <w:szCs w:val="18"/>
              </w:rPr>
              <w:t>Указывают в заявке конкретное значение характеристики</w:t>
            </w:r>
          </w:p>
        </w:tc>
        <w:tc>
          <w:tcPr>
            <w:tcW w:w="1985" w:type="dxa"/>
            <w:vMerge/>
          </w:tcPr>
          <w:p w:rsidR="00F84ED4" w:rsidRPr="001A7103" w:rsidRDefault="00F84ED4" w:rsidP="00021BE6">
            <w:pPr>
              <w:rPr>
                <w:rFonts w:ascii="Times New Roman" w:hAnsi="Times New Roman" w:cs="Times New Roman"/>
                <w:sz w:val="18"/>
                <w:szCs w:val="18"/>
              </w:rPr>
            </w:pPr>
          </w:p>
        </w:tc>
        <w:tc>
          <w:tcPr>
            <w:tcW w:w="850"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8"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r>
      <w:tr w:rsidR="00F84ED4" w:rsidRPr="001A7103" w:rsidTr="00021BE6">
        <w:tc>
          <w:tcPr>
            <w:tcW w:w="419" w:type="dxa"/>
            <w:vMerge/>
          </w:tcPr>
          <w:p w:rsidR="00F84ED4" w:rsidRPr="001A7103" w:rsidRDefault="00F84ED4" w:rsidP="00021BE6">
            <w:pPr>
              <w:jc w:val="center"/>
              <w:rPr>
                <w:rFonts w:ascii="Times New Roman" w:hAnsi="Times New Roman" w:cs="Times New Roman"/>
                <w:sz w:val="18"/>
                <w:szCs w:val="18"/>
              </w:rPr>
            </w:pPr>
          </w:p>
        </w:tc>
        <w:tc>
          <w:tcPr>
            <w:tcW w:w="1136" w:type="dxa"/>
            <w:vMerge/>
          </w:tcPr>
          <w:p w:rsidR="00F84ED4" w:rsidRPr="001A7103" w:rsidRDefault="00F84ED4" w:rsidP="00021BE6">
            <w:pPr>
              <w:rPr>
                <w:rFonts w:ascii="Times New Roman" w:hAnsi="Times New Roman" w:cs="Times New Roman"/>
                <w:sz w:val="18"/>
                <w:szCs w:val="18"/>
              </w:rPr>
            </w:pPr>
          </w:p>
        </w:tc>
        <w:tc>
          <w:tcPr>
            <w:tcW w:w="1275" w:type="dxa"/>
            <w:vMerge/>
          </w:tcPr>
          <w:p w:rsidR="00F84ED4" w:rsidRPr="001A7103" w:rsidRDefault="00F84ED4" w:rsidP="00021BE6">
            <w:pPr>
              <w:rPr>
                <w:rFonts w:ascii="Times New Roman" w:hAnsi="Times New Roman" w:cs="Times New Roman"/>
                <w:sz w:val="18"/>
                <w:szCs w:val="18"/>
              </w:rPr>
            </w:pPr>
          </w:p>
        </w:tc>
        <w:tc>
          <w:tcPr>
            <w:tcW w:w="2694" w:type="dxa"/>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color w:val="000000"/>
                <w:sz w:val="18"/>
                <w:szCs w:val="18"/>
              </w:rPr>
              <w:t xml:space="preserve">Фаза смешивания </w:t>
            </w:r>
          </w:p>
        </w:tc>
        <w:tc>
          <w:tcPr>
            <w:tcW w:w="1417" w:type="dxa"/>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sz w:val="18"/>
                <w:szCs w:val="18"/>
              </w:rPr>
              <w:t>не более 30</w:t>
            </w:r>
          </w:p>
        </w:tc>
        <w:tc>
          <w:tcPr>
            <w:tcW w:w="709" w:type="dxa"/>
            <w:vAlign w:val="center"/>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sz w:val="18"/>
                <w:szCs w:val="18"/>
              </w:rPr>
              <w:t>с</w:t>
            </w:r>
          </w:p>
        </w:tc>
        <w:tc>
          <w:tcPr>
            <w:tcW w:w="1984" w:type="dxa"/>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color w:val="000000"/>
                <w:sz w:val="18"/>
                <w:szCs w:val="18"/>
              </w:rPr>
              <w:t>Указывают в заявке конкретное значение характеристики</w:t>
            </w:r>
          </w:p>
        </w:tc>
        <w:tc>
          <w:tcPr>
            <w:tcW w:w="1985" w:type="dxa"/>
            <w:vMerge/>
          </w:tcPr>
          <w:p w:rsidR="00F84ED4" w:rsidRPr="001A7103" w:rsidRDefault="00F84ED4" w:rsidP="00021BE6">
            <w:pPr>
              <w:rPr>
                <w:rFonts w:ascii="Times New Roman" w:hAnsi="Times New Roman" w:cs="Times New Roman"/>
                <w:sz w:val="18"/>
                <w:szCs w:val="18"/>
              </w:rPr>
            </w:pPr>
          </w:p>
        </w:tc>
        <w:tc>
          <w:tcPr>
            <w:tcW w:w="850"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8"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r>
      <w:tr w:rsidR="00F84ED4" w:rsidRPr="001A7103" w:rsidTr="00021BE6">
        <w:tc>
          <w:tcPr>
            <w:tcW w:w="419" w:type="dxa"/>
            <w:vMerge/>
          </w:tcPr>
          <w:p w:rsidR="00F84ED4" w:rsidRPr="001A7103" w:rsidRDefault="00F84ED4" w:rsidP="00021BE6">
            <w:pPr>
              <w:jc w:val="center"/>
              <w:rPr>
                <w:rFonts w:ascii="Times New Roman" w:hAnsi="Times New Roman" w:cs="Times New Roman"/>
                <w:sz w:val="18"/>
                <w:szCs w:val="18"/>
              </w:rPr>
            </w:pPr>
          </w:p>
        </w:tc>
        <w:tc>
          <w:tcPr>
            <w:tcW w:w="1136" w:type="dxa"/>
            <w:vMerge/>
          </w:tcPr>
          <w:p w:rsidR="00F84ED4" w:rsidRPr="001A7103" w:rsidRDefault="00F84ED4" w:rsidP="00021BE6">
            <w:pPr>
              <w:rPr>
                <w:rFonts w:ascii="Times New Roman" w:hAnsi="Times New Roman" w:cs="Times New Roman"/>
                <w:sz w:val="18"/>
                <w:szCs w:val="18"/>
              </w:rPr>
            </w:pPr>
          </w:p>
        </w:tc>
        <w:tc>
          <w:tcPr>
            <w:tcW w:w="1275" w:type="dxa"/>
            <w:vMerge/>
          </w:tcPr>
          <w:p w:rsidR="00F84ED4" w:rsidRPr="001A7103" w:rsidRDefault="00F84ED4" w:rsidP="00021BE6">
            <w:pPr>
              <w:rPr>
                <w:rFonts w:ascii="Times New Roman" w:hAnsi="Times New Roman" w:cs="Times New Roman"/>
                <w:sz w:val="18"/>
                <w:szCs w:val="18"/>
              </w:rPr>
            </w:pPr>
          </w:p>
        </w:tc>
        <w:tc>
          <w:tcPr>
            <w:tcW w:w="2694" w:type="dxa"/>
            <w:vAlign w:val="center"/>
          </w:tcPr>
          <w:p w:rsidR="00F84ED4" w:rsidRPr="001A7103" w:rsidRDefault="00F84ED4" w:rsidP="00021BE6">
            <w:pPr>
              <w:rPr>
                <w:rFonts w:ascii="Times New Roman" w:hAnsi="Times New Roman" w:cs="Times New Roman"/>
                <w:color w:val="000000"/>
                <w:sz w:val="18"/>
                <w:szCs w:val="18"/>
              </w:rPr>
            </w:pPr>
            <w:r w:rsidRPr="001A7103">
              <w:rPr>
                <w:rFonts w:ascii="Times New Roman" w:hAnsi="Times New Roman" w:cs="Times New Roman"/>
                <w:color w:val="000000"/>
                <w:sz w:val="18"/>
                <w:szCs w:val="18"/>
              </w:rPr>
              <w:t xml:space="preserve">Фаза ожидания </w:t>
            </w:r>
          </w:p>
        </w:tc>
        <w:tc>
          <w:tcPr>
            <w:tcW w:w="1417" w:type="dxa"/>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sz w:val="18"/>
                <w:szCs w:val="18"/>
              </w:rPr>
              <w:t>не более 90</w:t>
            </w:r>
          </w:p>
        </w:tc>
        <w:tc>
          <w:tcPr>
            <w:tcW w:w="709" w:type="dxa"/>
            <w:vAlign w:val="center"/>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sz w:val="18"/>
                <w:szCs w:val="18"/>
              </w:rPr>
              <w:t>с</w:t>
            </w:r>
          </w:p>
        </w:tc>
        <w:tc>
          <w:tcPr>
            <w:tcW w:w="1984" w:type="dxa"/>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color w:val="000000"/>
                <w:sz w:val="18"/>
                <w:szCs w:val="18"/>
              </w:rPr>
              <w:t>Указывают в заявке конкретное значение характеристики</w:t>
            </w:r>
          </w:p>
        </w:tc>
        <w:tc>
          <w:tcPr>
            <w:tcW w:w="1985" w:type="dxa"/>
            <w:vMerge/>
          </w:tcPr>
          <w:p w:rsidR="00F84ED4" w:rsidRPr="001A7103" w:rsidRDefault="00F84ED4" w:rsidP="00021BE6">
            <w:pPr>
              <w:rPr>
                <w:rFonts w:ascii="Times New Roman" w:hAnsi="Times New Roman" w:cs="Times New Roman"/>
                <w:sz w:val="18"/>
                <w:szCs w:val="18"/>
              </w:rPr>
            </w:pPr>
          </w:p>
        </w:tc>
        <w:tc>
          <w:tcPr>
            <w:tcW w:w="850"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8"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r>
      <w:tr w:rsidR="00F84ED4" w:rsidRPr="001A7103" w:rsidTr="00021BE6">
        <w:tc>
          <w:tcPr>
            <w:tcW w:w="419" w:type="dxa"/>
            <w:vMerge/>
          </w:tcPr>
          <w:p w:rsidR="00F84ED4" w:rsidRPr="001A7103" w:rsidRDefault="00F84ED4" w:rsidP="00021BE6">
            <w:pPr>
              <w:jc w:val="center"/>
              <w:rPr>
                <w:rFonts w:ascii="Times New Roman" w:hAnsi="Times New Roman" w:cs="Times New Roman"/>
                <w:sz w:val="18"/>
                <w:szCs w:val="18"/>
              </w:rPr>
            </w:pPr>
          </w:p>
        </w:tc>
        <w:tc>
          <w:tcPr>
            <w:tcW w:w="1136" w:type="dxa"/>
            <w:vMerge/>
          </w:tcPr>
          <w:p w:rsidR="00F84ED4" w:rsidRPr="001A7103" w:rsidRDefault="00F84ED4" w:rsidP="00021BE6">
            <w:pPr>
              <w:rPr>
                <w:rFonts w:ascii="Times New Roman" w:hAnsi="Times New Roman" w:cs="Times New Roman"/>
                <w:sz w:val="18"/>
                <w:szCs w:val="18"/>
              </w:rPr>
            </w:pPr>
          </w:p>
        </w:tc>
        <w:tc>
          <w:tcPr>
            <w:tcW w:w="1275" w:type="dxa"/>
            <w:vMerge/>
          </w:tcPr>
          <w:p w:rsidR="00F84ED4" w:rsidRPr="001A7103" w:rsidRDefault="00F84ED4" w:rsidP="00021BE6">
            <w:pPr>
              <w:rPr>
                <w:rFonts w:ascii="Times New Roman" w:hAnsi="Times New Roman" w:cs="Times New Roman"/>
                <w:sz w:val="18"/>
                <w:szCs w:val="18"/>
              </w:rPr>
            </w:pPr>
          </w:p>
        </w:tc>
        <w:tc>
          <w:tcPr>
            <w:tcW w:w="2694" w:type="dxa"/>
            <w:vAlign w:val="center"/>
          </w:tcPr>
          <w:p w:rsidR="00F84ED4" w:rsidRPr="001A7103" w:rsidRDefault="00F84ED4" w:rsidP="00021BE6">
            <w:pPr>
              <w:rPr>
                <w:rFonts w:ascii="Times New Roman" w:hAnsi="Times New Roman" w:cs="Times New Roman"/>
                <w:color w:val="000000"/>
                <w:sz w:val="18"/>
                <w:szCs w:val="18"/>
              </w:rPr>
            </w:pPr>
            <w:r w:rsidRPr="001A7103">
              <w:rPr>
                <w:rFonts w:ascii="Times New Roman" w:hAnsi="Times New Roman" w:cs="Times New Roman"/>
                <w:color w:val="000000"/>
                <w:sz w:val="18"/>
                <w:szCs w:val="18"/>
              </w:rPr>
              <w:t xml:space="preserve">Фаза рабочего времени </w:t>
            </w:r>
          </w:p>
        </w:tc>
        <w:tc>
          <w:tcPr>
            <w:tcW w:w="1417" w:type="dxa"/>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sz w:val="18"/>
                <w:szCs w:val="18"/>
              </w:rPr>
              <w:t>не менее 210</w:t>
            </w:r>
          </w:p>
        </w:tc>
        <w:tc>
          <w:tcPr>
            <w:tcW w:w="709" w:type="dxa"/>
            <w:vAlign w:val="center"/>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sz w:val="18"/>
                <w:szCs w:val="18"/>
              </w:rPr>
              <w:t>с</w:t>
            </w:r>
          </w:p>
        </w:tc>
        <w:tc>
          <w:tcPr>
            <w:tcW w:w="1984" w:type="dxa"/>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color w:val="000000"/>
                <w:sz w:val="18"/>
                <w:szCs w:val="18"/>
              </w:rPr>
              <w:t>Указывают в заявке конкретное значение характеристики</w:t>
            </w:r>
          </w:p>
        </w:tc>
        <w:tc>
          <w:tcPr>
            <w:tcW w:w="1985" w:type="dxa"/>
            <w:vMerge/>
          </w:tcPr>
          <w:p w:rsidR="00F84ED4" w:rsidRPr="001A7103" w:rsidRDefault="00F84ED4" w:rsidP="00021BE6">
            <w:pPr>
              <w:rPr>
                <w:rFonts w:ascii="Times New Roman" w:hAnsi="Times New Roman" w:cs="Times New Roman"/>
                <w:sz w:val="18"/>
                <w:szCs w:val="18"/>
              </w:rPr>
            </w:pPr>
          </w:p>
        </w:tc>
        <w:tc>
          <w:tcPr>
            <w:tcW w:w="850"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8"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r>
      <w:tr w:rsidR="00F84ED4" w:rsidRPr="001A7103" w:rsidTr="00021BE6">
        <w:tc>
          <w:tcPr>
            <w:tcW w:w="419" w:type="dxa"/>
            <w:vMerge/>
          </w:tcPr>
          <w:p w:rsidR="00F84ED4" w:rsidRPr="001A7103" w:rsidRDefault="00F84ED4" w:rsidP="00021BE6">
            <w:pPr>
              <w:jc w:val="center"/>
              <w:rPr>
                <w:rFonts w:ascii="Times New Roman" w:hAnsi="Times New Roman" w:cs="Times New Roman"/>
                <w:sz w:val="18"/>
                <w:szCs w:val="18"/>
              </w:rPr>
            </w:pPr>
          </w:p>
        </w:tc>
        <w:tc>
          <w:tcPr>
            <w:tcW w:w="1136" w:type="dxa"/>
            <w:vMerge/>
          </w:tcPr>
          <w:p w:rsidR="00F84ED4" w:rsidRPr="001A7103" w:rsidRDefault="00F84ED4" w:rsidP="00021BE6">
            <w:pPr>
              <w:rPr>
                <w:rFonts w:ascii="Times New Roman" w:hAnsi="Times New Roman" w:cs="Times New Roman"/>
                <w:sz w:val="18"/>
                <w:szCs w:val="18"/>
              </w:rPr>
            </w:pPr>
          </w:p>
        </w:tc>
        <w:tc>
          <w:tcPr>
            <w:tcW w:w="1275" w:type="dxa"/>
            <w:vMerge/>
          </w:tcPr>
          <w:p w:rsidR="00F84ED4" w:rsidRPr="001A7103" w:rsidRDefault="00F84ED4" w:rsidP="00021BE6">
            <w:pPr>
              <w:rPr>
                <w:rFonts w:ascii="Times New Roman" w:hAnsi="Times New Roman" w:cs="Times New Roman"/>
                <w:sz w:val="18"/>
                <w:szCs w:val="18"/>
              </w:rPr>
            </w:pPr>
          </w:p>
        </w:tc>
        <w:tc>
          <w:tcPr>
            <w:tcW w:w="2694" w:type="dxa"/>
            <w:vAlign w:val="center"/>
          </w:tcPr>
          <w:p w:rsidR="00F84ED4" w:rsidRPr="001A7103" w:rsidRDefault="00F84ED4" w:rsidP="00021BE6">
            <w:pPr>
              <w:rPr>
                <w:rFonts w:ascii="Times New Roman" w:hAnsi="Times New Roman" w:cs="Times New Roman"/>
                <w:color w:val="000000"/>
                <w:sz w:val="18"/>
                <w:szCs w:val="18"/>
              </w:rPr>
            </w:pPr>
            <w:r w:rsidRPr="001A7103">
              <w:rPr>
                <w:rFonts w:ascii="Times New Roman" w:hAnsi="Times New Roman" w:cs="Times New Roman"/>
                <w:color w:val="000000"/>
                <w:sz w:val="18"/>
                <w:szCs w:val="18"/>
              </w:rPr>
              <w:t xml:space="preserve">Фаза затвердевания </w:t>
            </w:r>
          </w:p>
        </w:tc>
        <w:tc>
          <w:tcPr>
            <w:tcW w:w="1417" w:type="dxa"/>
            <w:vAlign w:val="center"/>
          </w:tcPr>
          <w:p w:rsidR="00F84ED4" w:rsidRPr="001A7103" w:rsidRDefault="00F84ED4" w:rsidP="00021BE6">
            <w:pPr>
              <w:rPr>
                <w:rFonts w:ascii="Times New Roman" w:hAnsi="Times New Roman" w:cs="Times New Roman"/>
                <w:sz w:val="18"/>
                <w:szCs w:val="18"/>
              </w:rPr>
            </w:pPr>
            <w:r w:rsidRPr="001A7103">
              <w:rPr>
                <w:rFonts w:ascii="Times New Roman" w:hAnsi="Times New Roman" w:cs="Times New Roman"/>
                <w:sz w:val="18"/>
                <w:szCs w:val="18"/>
              </w:rPr>
              <w:t>не более 390</w:t>
            </w:r>
          </w:p>
        </w:tc>
        <w:tc>
          <w:tcPr>
            <w:tcW w:w="709" w:type="dxa"/>
            <w:vAlign w:val="center"/>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sz w:val="18"/>
                <w:szCs w:val="18"/>
              </w:rPr>
              <w:t>с</w:t>
            </w:r>
          </w:p>
        </w:tc>
        <w:tc>
          <w:tcPr>
            <w:tcW w:w="1984" w:type="dxa"/>
            <w:vAlign w:val="center"/>
          </w:tcPr>
          <w:p w:rsidR="00F84ED4" w:rsidRPr="001A7103" w:rsidRDefault="00F84ED4" w:rsidP="00021BE6">
            <w:pPr>
              <w:jc w:val="center"/>
              <w:rPr>
                <w:rFonts w:ascii="Times New Roman" w:hAnsi="Times New Roman" w:cs="Times New Roman"/>
                <w:sz w:val="18"/>
                <w:szCs w:val="18"/>
              </w:rPr>
            </w:pPr>
            <w:r w:rsidRPr="001A7103">
              <w:rPr>
                <w:rFonts w:ascii="Times New Roman" w:hAnsi="Times New Roman" w:cs="Times New Roman"/>
                <w:color w:val="000000"/>
                <w:sz w:val="18"/>
                <w:szCs w:val="18"/>
              </w:rPr>
              <w:t>Указывают в заявке конкретное значение характеристики</w:t>
            </w:r>
          </w:p>
        </w:tc>
        <w:tc>
          <w:tcPr>
            <w:tcW w:w="1985" w:type="dxa"/>
            <w:vMerge/>
          </w:tcPr>
          <w:p w:rsidR="00F84ED4" w:rsidRPr="001A7103" w:rsidRDefault="00F84ED4" w:rsidP="00021BE6">
            <w:pPr>
              <w:rPr>
                <w:rFonts w:ascii="Times New Roman" w:hAnsi="Times New Roman" w:cs="Times New Roman"/>
                <w:sz w:val="18"/>
                <w:szCs w:val="18"/>
              </w:rPr>
            </w:pPr>
          </w:p>
        </w:tc>
        <w:tc>
          <w:tcPr>
            <w:tcW w:w="850"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c>
          <w:tcPr>
            <w:tcW w:w="708" w:type="dxa"/>
            <w:vMerge/>
          </w:tcPr>
          <w:p w:rsidR="00F84ED4" w:rsidRPr="001A7103" w:rsidRDefault="00F84ED4" w:rsidP="00021BE6">
            <w:pPr>
              <w:rPr>
                <w:rFonts w:ascii="Times New Roman" w:hAnsi="Times New Roman" w:cs="Times New Roman"/>
                <w:sz w:val="18"/>
                <w:szCs w:val="18"/>
              </w:rPr>
            </w:pPr>
          </w:p>
        </w:tc>
        <w:tc>
          <w:tcPr>
            <w:tcW w:w="709" w:type="dxa"/>
            <w:vMerge/>
          </w:tcPr>
          <w:p w:rsidR="00F84ED4" w:rsidRPr="001A7103" w:rsidRDefault="00F84ED4" w:rsidP="00021BE6">
            <w:pPr>
              <w:rPr>
                <w:rFonts w:ascii="Times New Roman" w:hAnsi="Times New Roman" w:cs="Times New Roman"/>
                <w:sz w:val="18"/>
                <w:szCs w:val="18"/>
              </w:rPr>
            </w:pPr>
          </w:p>
        </w:tc>
      </w:tr>
    </w:tbl>
    <w:p w:rsidR="00F84ED4" w:rsidRPr="001A7103" w:rsidRDefault="00F84ED4" w:rsidP="00F84ED4">
      <w:pPr>
        <w:rPr>
          <w:rFonts w:ascii="Times New Roman" w:hAnsi="Times New Roman" w:cs="Times New Roman"/>
          <w:sz w:val="18"/>
          <w:szCs w:val="18"/>
        </w:rPr>
      </w:pPr>
    </w:p>
    <w:p w:rsidR="00170252" w:rsidRDefault="00170252" w:rsidP="000820E3">
      <w:pPr>
        <w:rPr>
          <w:rFonts w:ascii="Times New Roman" w:hAnsi="Times New Roman" w:cs="Times New Roman"/>
          <w:b/>
          <w:sz w:val="28"/>
          <w:szCs w:val="28"/>
        </w:rPr>
      </w:pPr>
    </w:p>
    <w:sectPr w:rsidR="00170252" w:rsidSect="00C965FF">
      <w:pgSz w:w="16838" w:h="11906" w:orient="landscape"/>
      <w:pgMar w:top="56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0D" w:rsidRDefault="00B96E0D">
      <w:pPr>
        <w:spacing w:after="0" w:line="240" w:lineRule="auto"/>
      </w:pPr>
      <w:r>
        <w:separator/>
      </w:r>
    </w:p>
  </w:endnote>
  <w:endnote w:type="continuationSeparator" w:id="0">
    <w:p w:rsidR="00B96E0D" w:rsidRDefault="00B9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00EBB" w:rsidRDefault="00000EBB">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00EBB">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00EBB">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00EB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000EB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0D" w:rsidRDefault="00B96E0D">
      <w:pPr>
        <w:spacing w:after="0" w:line="240" w:lineRule="auto"/>
      </w:pPr>
      <w:r>
        <w:separator/>
      </w:r>
    </w:p>
  </w:footnote>
  <w:footnote w:type="continuationSeparator" w:id="0">
    <w:p w:rsidR="00B96E0D" w:rsidRDefault="00B96E0D">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00EBB" w:rsidRDefault="00000EBB">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00EBB" w:rsidRDefault="00000EBB">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00EBB" w:rsidRDefault="00000EBB">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0EBB"/>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36C5"/>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96E0D"/>
    <w:rsid w:val="00BA5FF8"/>
    <w:rsid w:val="00BB195D"/>
    <w:rsid w:val="00BC0D28"/>
    <w:rsid w:val="00BC6D1D"/>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ED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36F3-D316-43F5-A6A4-5BCE33ED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2024-04-23T11:01:00Z</dcterms:created>
  <dcterms:modified xsi:type="dcterms:W3CDTF">2024-04-23T11:01:00Z</dcterms:modified>
</cp:coreProperties>
</file>